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rFonts w:cs="Bitstream Charter" w:ascii="Tahoma" w:hAnsi="Tahoma"/>
          <w:b/>
          <w:bCs/>
          <w:sz w:val="19"/>
          <w:szCs w:val="19"/>
          <w:shd w:fill="CCCCCC" w:val="clear"/>
          <w:lang w:val="it-IT"/>
        </w:rPr>
      </w:pPr>
      <w:r>
        <w:rPr>
          <w:rFonts w:cs="Bitstream Charter" w:ascii="Tahoma" w:hAnsi="Tahoma"/>
          <w:b/>
          <w:bCs/>
          <w:sz w:val="19"/>
          <w:szCs w:val="19"/>
          <w:shd w:fill="CCCCCC" w:val="clear"/>
          <w:lang w:val="it-IT"/>
        </w:rPr>
        <w:t>Contestazione cambio periodo di fatturazione a 28 giorni</w:t>
      </w:r>
    </w:p>
    <w:p>
      <w:pPr>
        <w:pStyle w:val="Normal"/>
        <w:jc w:val="both"/>
        <w:rPr>
          <w:rFonts w:cs="Bitstream Charter" w:ascii="Tahoma" w:hAnsi="Tahoma"/>
          <w:b w:val="false"/>
          <w:bCs w:val="false"/>
          <w:sz w:val="19"/>
          <w:szCs w:val="19"/>
          <w:shd w:fill="CCCCCC" w:val="clear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shd w:fill="CCCCCC" w:val="clear"/>
          <w:lang w:val="it-IT"/>
        </w:rPr>
        <w:t>Mandate questa lettera al vostro operatore telefonico (cancellando gli altri indirizzi) per chiedere che venga ripristinato il periodo di fatturazione mensile, e vi venga rimborsata la differenza pagata in più.</w:t>
      </w:r>
    </w:p>
    <w:p>
      <w:pPr>
        <w:pStyle w:val="Normal"/>
        <w:jc w:val="both"/>
        <w:rPr>
          <w:rFonts w:cs="Bitstream Charter" w:ascii="Tahoma" w:hAnsi="Tahoma"/>
          <w:b w:val="false"/>
          <w:bCs w:val="false"/>
          <w:sz w:val="19"/>
          <w:szCs w:val="19"/>
          <w:shd w:fill="CCCCCC" w:val="clear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shd w:fill="CCCCCC" w:val="clear"/>
          <w:lang w:val="it-IT"/>
        </w:rPr>
        <w:t>Parti del testo in corsivo o vuote sono da modificare ed integrare. Il testo con sfondo grigio va cancellato.</w:t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  <w:t>Mittente</w:t>
      </w:r>
    </w:p>
    <w:p>
      <w:pPr>
        <w:pStyle w:val="Normal"/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  <w:t>Indirizzo</w:t>
      </w:r>
    </w:p>
    <w:p>
      <w:pPr>
        <w:pStyle w:val="Normal"/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  <w:t>Cap Luogo</w:t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Luogo, data</w:t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FAX: 800.000.187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Telecom Italia SpA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Casella Postale 111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00054 Fiumicino – RM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OPPURE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Raccomandata a.r.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Vodafone Italia SpA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Casella Postale 190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10015 Ivrea – TO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OPPURE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Raccomandata a.r.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Fastweb Spa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Casella Postale 126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20092 – Cinisello Balsamo (MI)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OPPURE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Raccomandata a.r.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Wind Tre SpA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Casella Potale 14155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20152 – Milano (MI)</w:t>
      </w:r>
    </w:p>
    <w:p>
      <w:pPr>
        <w:pStyle w:val="Normal"/>
        <w:ind w:left="5669" w:right="0" w:hanging="0"/>
        <w:rPr/>
      </w:pPr>
      <w:r>
        <w:rPr/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p.c.</w:t>
      </w:r>
    </w:p>
    <w:p>
      <w:pPr>
        <w:pStyle w:val="Normal"/>
        <w:ind w:left="5669" w:right="0" w:hanging="0"/>
        <w:rPr>
          <w:rFonts w:eastAsia="Droid Sans Fallback" w:cs="Bitstream Charter" w:ascii="Tahoma" w:hAnsi="Tahoma"/>
          <w:color w:val="00000A"/>
          <w:sz w:val="19"/>
          <w:szCs w:val="19"/>
          <w:lang w:val="it-IT" w:eastAsia="zh-CN" w:bidi="hi-IN"/>
        </w:rPr>
      </w:pPr>
      <w:r>
        <w:rPr>
          <w:rFonts w:eastAsia="Droid Sans Fallback" w:cs="Bitstream Charter" w:ascii="Tahoma" w:hAnsi="Tahoma"/>
          <w:color w:val="00000A"/>
          <w:sz w:val="19"/>
          <w:szCs w:val="19"/>
          <w:lang w:val="it-IT" w:eastAsia="zh-CN" w:bidi="hi-IN"/>
        </w:rPr>
        <w:t>CTCU – Centro Tutela Consumatori Utenti</w:t>
      </w:r>
    </w:p>
    <w:p>
      <w:pPr>
        <w:pStyle w:val="Normal"/>
        <w:ind w:left="5669" w:right="0" w:hanging="0"/>
        <w:rPr>
          <w:rFonts w:ascii="Tahoma" w:hAnsi="Tahoma"/>
          <w:sz w:val="19"/>
          <w:szCs w:val="19"/>
          <w:lang w:val="it-IT"/>
        </w:rPr>
      </w:pPr>
      <w:r>
        <w:rPr>
          <w:rFonts w:ascii="Tahoma" w:hAnsi="Tahoma"/>
          <w:sz w:val="19"/>
          <w:szCs w:val="19"/>
          <w:lang w:val="it-IT"/>
        </w:rPr>
        <w:t>via Dodiciville, 2 – 39100 Bolzano</w:t>
      </w:r>
    </w:p>
    <w:p>
      <w:pPr>
        <w:pStyle w:val="Normal"/>
        <w:ind w:left="5669" w:right="0" w:hanging="0"/>
        <w:rPr>
          <w:rStyle w:val="Internetlink"/>
          <w:rFonts w:ascii="Tahoma" w:hAnsi="Tahoma"/>
          <w:sz w:val="19"/>
          <w:szCs w:val="19"/>
          <w:lang w:val="it-IT"/>
        </w:rPr>
      </w:pPr>
      <w:r>
        <w:rPr>
          <w:rFonts w:ascii="Tahoma" w:hAnsi="Tahoma"/>
          <w:sz w:val="19"/>
          <w:szCs w:val="19"/>
          <w:lang w:val="it-IT"/>
        </w:rPr>
        <w:t xml:space="preserve">Invio e-mail: </w:t>
      </w:r>
      <w:hyperlink r:id="rId2">
        <w:r>
          <w:rPr>
            <w:rStyle w:val="Internetlink"/>
            <w:rFonts w:ascii="Tahoma" w:hAnsi="Tahoma"/>
            <w:sz w:val="19"/>
            <w:szCs w:val="19"/>
            <w:lang w:val="it-IT"/>
          </w:rPr>
          <w:t>info@centroconsumatori.it</w:t>
        </w:r>
      </w:hyperlink>
    </w:p>
    <w:p>
      <w:pPr>
        <w:pStyle w:val="Normal"/>
        <w:rPr>
          <w:rFonts w:cs="Bitstream Charter" w:ascii="Tahoma" w:hAnsi="Tahoma"/>
          <w:b/>
          <w:bCs/>
          <w:sz w:val="19"/>
          <w:szCs w:val="19"/>
          <w:lang w:val="it-IT"/>
        </w:rPr>
      </w:pPr>
      <w:r>
        <w:rPr>
          <w:rFonts w:cs="Bitstream Charter" w:ascii="Tahoma" w:hAnsi="Tahoma"/>
          <w:b/>
          <w:bCs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b/>
          <w:bCs/>
          <w:sz w:val="19"/>
          <w:szCs w:val="19"/>
          <w:lang w:val="it-IT"/>
        </w:rPr>
      </w:pPr>
      <w:r>
        <w:rPr>
          <w:rFonts w:cs="Bitstream Charter" w:ascii="Tahoma" w:hAnsi="Tahoma"/>
          <w:b/>
          <w:bCs/>
          <w:i w:val="false"/>
          <w:iCs w:val="false"/>
          <w:sz w:val="19"/>
          <w:szCs w:val="19"/>
          <w:lang w:val="it-IT"/>
        </w:rPr>
        <w:t>Nome Cognome</w:t>
      </w:r>
      <w:r>
        <w:rPr>
          <w:rFonts w:cs="Bitstream Charter" w:ascii="Tahoma" w:hAnsi="Tahoma"/>
          <w:b/>
          <w:bCs/>
          <w:sz w:val="19"/>
          <w:szCs w:val="19"/>
          <w:lang w:val="it-IT"/>
        </w:rPr>
        <w:t xml:space="preserve"> – utenza n. ………………</w:t>
      </w:r>
    </w:p>
    <w:p>
      <w:pPr>
        <w:pStyle w:val="Normal"/>
        <w:rPr>
          <w:rFonts w:cs="Bitstream Charter" w:ascii="Tahoma" w:hAnsi="Tahoma"/>
          <w:b/>
          <w:bCs/>
          <w:sz w:val="19"/>
          <w:szCs w:val="19"/>
          <w:lang w:val="it-IT"/>
        </w:rPr>
      </w:pPr>
      <w:r>
        <w:rPr>
          <w:rFonts w:cs="Bitstream Charter" w:ascii="Tahoma" w:hAnsi="Tahoma"/>
          <w:b/>
          <w:bCs/>
          <w:sz w:val="19"/>
          <w:szCs w:val="19"/>
          <w:lang w:val="it-IT"/>
        </w:rPr>
        <w:t>Contratto/offerta: ………………</w:t>
      </w:r>
    </w:p>
    <w:p>
      <w:pPr>
        <w:pStyle w:val="Normal"/>
        <w:rPr>
          <w:rFonts w:cs="Bitstream Charter" w:ascii="Tahoma" w:hAnsi="Tahoma"/>
          <w:b/>
          <w:bCs/>
          <w:sz w:val="19"/>
          <w:szCs w:val="19"/>
          <w:lang w:val="it-IT"/>
        </w:rPr>
      </w:pPr>
      <w:r>
        <w:rPr>
          <w:rFonts w:cs="Bitstream Charter" w:ascii="Tahoma" w:hAnsi="Tahoma"/>
          <w:b/>
          <w:bCs/>
          <w:sz w:val="19"/>
          <w:szCs w:val="19"/>
          <w:lang w:val="it-IT"/>
        </w:rPr>
        <w:t>Contestazione modalità calcolo corrispettivo abbonamento offerte a 28 giorni e periodo di fatturazione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Spett. Società,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il/la sottoscritto/a, ……… ………… titolare di utenza n. ……………… con contratto/offerta ……………, vi comunica quanto segue.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Da un esame delle ultime fatture da voi inviate il/la sottoscritto/a, si evince che la vostra Società provvede a calcolare il corrispettivo dovuto non più su base mensile, bensì su base “28 giorni”. Si ritiene tale comportamento in aperto contrasto, e per tale motivo illegittimo e gravemente scorretto, con il contenuto della delibera AGCOM n.121/17/CONS, la quale all'art. 1, comma 2) (modifiche all'articolo 3 della delibera 252/16/CONS), dispone chiaramente: “</w:t>
      </w:r>
      <w:r>
        <w:rPr>
          <w:rFonts w:cs="Bitstream Charter" w:ascii="Tahoma" w:hAnsi="Tahoma"/>
          <w:i/>
          <w:iCs/>
          <w:sz w:val="19"/>
          <w:szCs w:val="19"/>
          <w:lang w:val="it-IT"/>
        </w:rPr>
        <w:t>Per la telefonia fissa la cadenza di rinnovo delle offerte e della fatturazione deve essere su base mensile o suoi multipli. Per la telefonia mobile non può essere inferiore a quattro settimane. In caso di offerte convergenti con la telefonia fissa, prevale la cadenza relativa a quest'ultima</w:t>
      </w:r>
      <w:r>
        <w:rPr>
          <w:rFonts w:cs="Bitstream Charter" w:ascii="Tahoma" w:hAnsi="Tahoma"/>
          <w:sz w:val="19"/>
          <w:szCs w:val="19"/>
          <w:lang w:val="it-IT"/>
        </w:rPr>
        <w:t>”.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Tale delibera dava inoltre tempo di 90 giorni ai gestori di TLC di adeguarsi al succitato disposto, cosa che, ad oggi, non mi risulta essere avvenuta o comunicata al/la sottoscritto/a da parte della vostra Società.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Sulla base di tale disposto il/la sottoscritto/a è richiedervi pertanto che, entro e non oltre 15 giorni dal ricevimento della presente lettera: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numPr>
          <w:ilvl w:val="0"/>
          <w:numId w:val="1"/>
        </w:numPr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gli venga applicato immediatamente il conteggio in fattura del corrispettivo secondo la modalità di calcolo con cadenza mensile e non di 28 giorni, per tutte le componenti del servizio;</w:t>
      </w:r>
    </w:p>
    <w:p>
      <w:pPr>
        <w:pStyle w:val="Normal"/>
        <w:numPr>
          <w:ilvl w:val="0"/>
          <w:numId w:val="1"/>
        </w:numPr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l'emissione delle fatture avvenga su base mensile, o in alternativa bimestrale e non ogni otto settimane;</w:t>
      </w:r>
    </w:p>
    <w:p>
      <w:pPr>
        <w:pStyle w:val="Normal"/>
        <w:numPr>
          <w:ilvl w:val="0"/>
          <w:numId w:val="1"/>
        </w:numPr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provvediate al ricalcolo dei corrispettivi delle fatture emesse e calcolate con tariffa a 28 giorni, con applicazione del conteggio ai sensi della delibera AGCOM di cui sopra ed al rimborso/accredito di ogni maggiore importo da voi in più calcolato o imputato a seguito del conteggio illegittimo.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 xml:space="preserve">Il/La sottoscritto/a vi fa presente inoltre di aver provveduto sino ad oggi al saldo delle fatture emesse e recapitate e di voler provvedere anche al saldo di quelle a scadere e/o di prossima emissione, al solo fine di evitare conseguenze più gravose, </w:t>
      </w:r>
      <w:r>
        <w:rPr>
          <w:rFonts w:cs="Bitstream Charter" w:ascii="Tahoma" w:hAnsi="Tahoma"/>
          <w:sz w:val="19"/>
          <w:szCs w:val="19"/>
          <w:u w:val="single"/>
          <w:lang w:val="it-IT"/>
        </w:rPr>
        <w:t>senza alcuna rinuncia a quanto sopra contestato ed, in particolar modo senza acconsentire in alcun modo</w:t>
      </w:r>
      <w:r>
        <w:rPr>
          <w:rFonts w:cs="Bitstream Charter" w:ascii="Tahoma" w:hAnsi="Tahoma"/>
          <w:sz w:val="19"/>
          <w:szCs w:val="19"/>
          <w:lang w:val="it-IT"/>
        </w:rPr>
        <w:t xml:space="preserve"> alle condizioni e modalità di fatturazione illegittime ed ingiustificate da voi applicate.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Si invitano altresì le spett.li Autorità indipendenti in epigrafe, ciascuna per le rispettive competenze, a voler vigilare sull’operato commerciale del gestore, nonché a sanzionare qualsivoglia violazione di legge o comportamento illecito o scorretto commesso dalla stessa Società, in relazione a quanto segnalato.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La presente vale quale costituzione in mora e quale interruzione di qualsiasi termine di decadenza e prescrizione.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Si rimane in attesa di vostro cortese riscontro nei termini di legge.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Con ogni più ampia riserva.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Cordiali saluti,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(firma)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i/>
          <w:iCs/>
          <w:sz w:val="19"/>
          <w:szCs w:val="19"/>
          <w:lang w:val="it-IT"/>
        </w:rPr>
      </w:pPr>
      <w:r>
        <w:rPr>
          <w:rFonts w:cs="Bitstream Charter" w:ascii="Tahoma" w:hAnsi="Tahoma"/>
          <w:i/>
          <w:iCs/>
          <w:sz w:val="19"/>
          <w:szCs w:val="19"/>
          <w:lang w:val="it-IT"/>
        </w:rPr>
        <w:t>Nome cognome</w:t>
      </w:r>
    </w:p>
    <w:p>
      <w:pPr>
        <w:pStyle w:val="Normal"/>
        <w:rPr>
          <w:rFonts w:eastAsia="Bitstream Charter" w:cs="Bitstream Charter" w:ascii="Tahoma" w:hAnsi="Tahoma"/>
          <w:i/>
          <w:iCs/>
          <w:sz w:val="19"/>
          <w:szCs w:val="19"/>
          <w:lang w:val="it-IT"/>
        </w:rPr>
      </w:pPr>
      <w:r>
        <w:rPr>
          <w:rFonts w:eastAsia="Bitstream Charter" w:cs="Bitstream Charter" w:ascii="Tahoma" w:hAnsi="Tahoma"/>
          <w:i/>
          <w:iCs/>
          <w:sz w:val="19"/>
          <w:szCs w:val="19"/>
          <w:lang w:val="it-IT"/>
        </w:rPr>
      </w:r>
    </w:p>
    <w:p>
      <w:pPr>
        <w:pStyle w:val="Normal"/>
        <w:rPr>
          <w:rFonts w:eastAsia="Bitstream Charter" w:cs="Bitstream Charter" w:ascii="Tahoma" w:hAnsi="Tahoma"/>
          <w:i/>
          <w:iCs/>
          <w:sz w:val="19"/>
          <w:szCs w:val="19"/>
          <w:lang w:val="it-IT"/>
        </w:rPr>
      </w:pPr>
      <w:r>
        <w:rPr>
          <w:rFonts w:eastAsia="Bitstream Charter" w:cs="Bitstream Charter" w:ascii="Tahoma" w:hAnsi="Tahoma"/>
          <w:i/>
          <w:iCs/>
          <w:sz w:val="19"/>
          <w:szCs w:val="19"/>
          <w:lang w:val="it-IT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roid Sans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Tahoma">
    <w:charset w:val="01"/>
    <w:family w:val="swiss"/>
    <w:pitch w:val="default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Droid Sans" w:hAnsi="Droid Sans" w:eastAsia="Droid Sans Fallback" w:cs="Free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Droid Sans" w:hAnsi="Droid Sans" w:eastAsia="Droid Sans Fallback" w:cs="FreeSans"/>
      <w:color w:val="00000A"/>
      <w:sz w:val="24"/>
      <w:szCs w:val="24"/>
      <w:lang w:val="de-DE" w:eastAsia="zh-CN" w:bidi="hi-IN"/>
    </w:rPr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character" w:styleId="Aufzhlungszeichen">
    <w:name w:val="Aufzählungszeichen"/>
    <w:rPr>
      <w:rFonts w:ascii="OpenSymbol" w:hAnsi="OpenSymbol" w:eastAsia="OpenSymbol" w:cs="OpenSymbol"/>
    </w:rPr>
  </w:style>
  <w:style w:type="character" w:styleId="ListLabel1">
    <w:name w:val="ListLabel 1"/>
    <w:rPr>
      <w:rFonts w:cs="Symbol"/>
    </w:rPr>
  </w:style>
  <w:style w:type="character" w:styleId="ListLabel2">
    <w:name w:val="ListLabel 2"/>
    <w:rPr>
      <w:rFonts w:cs="OpenSymbol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Droid Sans" w:hAnsi="Droid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ascii="Droid Sans" w:hAnsi="Droid Sans"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ascii="Droid Sans" w:hAnsi="Droid Sans"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ascii="Droid Sans" w:hAnsi="Droid Sans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entroconsumatori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2017-10-26T09:55:39Z</dcterms:created>
  <dc:creator>gbauhofer </dc:creator>
  <dc:language>de-DE</dc:language>
  <cp:revision>0</cp:revision>
</cp:coreProperties>
</file>