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rFonts w:cs="Bitstream Charter" w:ascii="Tahoma" w:hAnsi="Tahoma"/>
          <w:b/>
          <w:bCs/>
          <w:sz w:val="19"/>
          <w:szCs w:val="19"/>
          <w:shd w:fill="CCCCCC" w:val="clear"/>
          <w:lang w:val="it-IT"/>
        </w:rPr>
      </w:pPr>
      <w:r>
        <w:rPr>
          <w:rFonts w:cs="Bitstream Charter" w:ascii="Tahoma" w:hAnsi="Tahoma"/>
          <w:b/>
          <w:bCs/>
          <w:sz w:val="19"/>
          <w:szCs w:val="19"/>
          <w:shd w:fill="CCCCCC" w:val="clear"/>
          <w:lang w:val="it-IT"/>
        </w:rPr>
        <w:t>Telefonrechnung: Beanstandung des Verrechnungszeitraums von 28 Tagen</w:t>
      </w:r>
    </w:p>
    <w:p>
      <w:pPr>
        <w:pStyle w:val="Normal"/>
        <w:jc w:val="both"/>
        <w:rPr>
          <w:rFonts w:cs="Bitstream Charter" w:ascii="Tahoma" w:hAnsi="Tahoma"/>
          <w:b w:val="false"/>
          <w:bCs w:val="false"/>
          <w:sz w:val="19"/>
          <w:szCs w:val="19"/>
          <w:shd w:fill="CCCCCC" w:val="clear"/>
          <w:lang w:val="it-IT"/>
        </w:rPr>
      </w:pPr>
      <w:r>
        <w:rPr>
          <w:rFonts w:cs="Bitstream Charter" w:ascii="Tahoma" w:hAnsi="Tahoma"/>
          <w:b w:val="false"/>
          <w:bCs w:val="false"/>
          <w:sz w:val="19"/>
          <w:szCs w:val="19"/>
          <w:shd w:fill="CCCCCC" w:val="clear"/>
          <w:lang w:val="it-IT"/>
        </w:rPr>
        <w:t>Mit diesem Schreiben verlangen Sie von Ihre</w:t>
      </w:r>
      <w:r>
        <w:rPr>
          <w:rFonts w:cs="Bitstream Charter" w:ascii="Tahoma" w:hAnsi="Tahoma"/>
          <w:b w:val="false"/>
          <w:bCs w:val="false"/>
          <w:sz w:val="19"/>
          <w:szCs w:val="19"/>
          <w:shd w:fill="CCCCCC" w:val="clear"/>
          <w:lang w:val="it-IT"/>
        </w:rPr>
        <w:t>m</w:t>
      </w:r>
      <w:r>
        <w:rPr>
          <w:rFonts w:cs="Bitstream Charter" w:ascii="Tahoma" w:hAnsi="Tahoma"/>
          <w:b w:val="false"/>
          <w:bCs w:val="false"/>
          <w:sz w:val="19"/>
          <w:szCs w:val="19"/>
          <w:shd w:fill="CCCCCC" w:val="clear"/>
          <w:lang w:val="it-IT"/>
        </w:rPr>
        <w:t xml:space="preserve"> Anbieter (die anderen Adressen sind zu löschen) die Wiedereinführung der Verrechnung pro Monat, sowie die Rückgabe der zuviel bezahlten Summen. Da die meisten Anbieter keine Briefe in deutsch beantworten, stellen wir das Schreiben nur in italienischer Sprache zur Verfügung.</w:t>
      </w:r>
    </w:p>
    <w:p>
      <w:pPr>
        <w:pStyle w:val="Normal"/>
        <w:jc w:val="both"/>
        <w:rPr>
          <w:rFonts w:cs="Bitstream Charter" w:ascii="Tahoma" w:hAnsi="Tahoma"/>
          <w:b w:val="false"/>
          <w:bCs w:val="false"/>
          <w:sz w:val="19"/>
          <w:szCs w:val="19"/>
          <w:shd w:fill="CCCCCC" w:val="clear"/>
          <w:lang w:val="it-IT"/>
        </w:rPr>
      </w:pPr>
      <w:r>
        <w:rPr>
          <w:rFonts w:cs="Bitstream Charter" w:ascii="Tahoma" w:hAnsi="Tahoma"/>
          <w:b w:val="false"/>
          <w:bCs w:val="false"/>
          <w:sz w:val="19"/>
          <w:szCs w:val="19"/>
          <w:shd w:fill="CCCCCC" w:val="clear"/>
          <w:lang w:val="it-IT"/>
        </w:rPr>
        <w:t>Kursive und leere Textstellen sind zu ändern und auszufüllen. Text mit grauem Hintergrund ist zu löschen.</w:t>
      </w:r>
    </w:p>
    <w:p>
      <w:pPr>
        <w:pStyle w:val="Normal"/>
        <w:jc w:val="both"/>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jc w:val="both"/>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val="false"/>
          <w:bCs w:val="false"/>
          <w:i/>
          <w:iCs/>
          <w:sz w:val="19"/>
          <w:szCs w:val="19"/>
          <w:lang w:val="it-IT"/>
        </w:rPr>
      </w:pPr>
      <w:r>
        <w:rPr>
          <w:rFonts w:cs="Bitstream Charter" w:ascii="Tahoma" w:hAnsi="Tahoma"/>
          <w:b w:val="false"/>
          <w:bCs w:val="false"/>
          <w:i/>
          <w:iCs/>
          <w:sz w:val="19"/>
          <w:szCs w:val="19"/>
          <w:lang w:val="it-IT"/>
        </w:rPr>
        <w:t>Mittente</w:t>
      </w:r>
    </w:p>
    <w:p>
      <w:pPr>
        <w:pStyle w:val="Normal"/>
        <w:rPr>
          <w:rFonts w:cs="Bitstream Charter" w:ascii="Tahoma" w:hAnsi="Tahoma"/>
          <w:b w:val="false"/>
          <w:bCs w:val="false"/>
          <w:i/>
          <w:iCs/>
          <w:sz w:val="19"/>
          <w:szCs w:val="19"/>
          <w:lang w:val="it-IT"/>
        </w:rPr>
      </w:pPr>
      <w:r>
        <w:rPr>
          <w:rFonts w:cs="Bitstream Charter" w:ascii="Tahoma" w:hAnsi="Tahoma"/>
          <w:b w:val="false"/>
          <w:bCs w:val="false"/>
          <w:i/>
          <w:iCs/>
          <w:sz w:val="19"/>
          <w:szCs w:val="19"/>
          <w:lang w:val="it-IT"/>
        </w:rPr>
        <w:t>Indirizzo</w:t>
      </w:r>
    </w:p>
    <w:p>
      <w:pPr>
        <w:pStyle w:val="Normal"/>
        <w:rPr>
          <w:rFonts w:cs="Bitstream Charter" w:ascii="Tahoma" w:hAnsi="Tahoma"/>
          <w:b w:val="false"/>
          <w:bCs w:val="false"/>
          <w:i/>
          <w:iCs/>
          <w:sz w:val="19"/>
          <w:szCs w:val="19"/>
          <w:lang w:val="it-IT"/>
        </w:rPr>
      </w:pPr>
      <w:r>
        <w:rPr>
          <w:rFonts w:cs="Bitstream Charter" w:ascii="Tahoma" w:hAnsi="Tahoma"/>
          <w:b w:val="false"/>
          <w:bCs w:val="false"/>
          <w:i/>
          <w:iCs/>
          <w:sz w:val="19"/>
          <w:szCs w:val="19"/>
          <w:lang w:val="it-IT"/>
        </w:rPr>
        <w:t>Cap Luogo</w:t>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t>Luogo, data</w:t>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FAX: 800.000.187</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Telecom Italia SpA</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Casella Postale 111</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00054 Fiumicino – RM</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OPPURE</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Raccomandata a.r.</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Vodafone Italia SpA</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Casella Postale 190</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10015 Ivrea – TO</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OPPURE</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Raccomandata a.r.</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Fastweb Spa</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Casella Postale 126</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20092 – Cinisello Balsamo (MI)</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OPPURE</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Raccomandata a.r.</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Wind Tre SpA</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Casella Potale 14155</w:t>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20152 – Milano (MI)</w:t>
      </w:r>
    </w:p>
    <w:p>
      <w:pPr>
        <w:pStyle w:val="Normal"/>
        <w:rPr>
          <w:rFonts w:cs="Bitstream Charter" w:ascii="Tahoma" w:hAnsi="Tahoma"/>
          <w:b w:val="false"/>
          <w:bCs w:val="false"/>
          <w:sz w:val="19"/>
          <w:szCs w:val="19"/>
          <w:lang w:val="it-IT"/>
        </w:rPr>
      </w:pPr>
      <w:r>
        <w:rPr>
          <w:rFonts w:cs="Bitstream Charter" w:ascii="Tahoma" w:hAnsi="Tahoma"/>
          <w:b w:val="false"/>
          <w:bCs w:val="false"/>
          <w:sz w:val="19"/>
          <w:szCs w:val="19"/>
          <w:lang w:val="it-IT"/>
        </w:rPr>
      </w:r>
    </w:p>
    <w:p>
      <w:pPr>
        <w:pStyle w:val="Normal"/>
        <w:rPr>
          <w:rFonts w:cs="Bitstream Charter" w:ascii="Tahoma" w:hAnsi="Tahoma"/>
          <w:b/>
          <w:bCs/>
          <w:sz w:val="19"/>
          <w:szCs w:val="19"/>
          <w:lang w:val="it-IT"/>
        </w:rPr>
      </w:pPr>
      <w:r>
        <w:rPr>
          <w:rFonts w:cs="Bitstream Charter" w:ascii="Tahoma" w:hAnsi="Tahoma"/>
          <w:b/>
          <w:bCs/>
          <w:sz w:val="19"/>
          <w:szCs w:val="19"/>
          <w:lang w:val="it-IT"/>
        </w:rPr>
      </w:r>
    </w:p>
    <w:p>
      <w:pPr>
        <w:pStyle w:val="Normal"/>
        <w:ind w:left="5669" w:right="0" w:hanging="0"/>
        <w:rPr>
          <w:rFonts w:cs="Bitstream Charter" w:ascii="Tahoma" w:hAnsi="Tahoma"/>
          <w:b w:val="false"/>
          <w:bCs w:val="false"/>
          <w:sz w:val="19"/>
          <w:szCs w:val="19"/>
          <w:lang w:val="it-IT"/>
        </w:rPr>
      </w:pPr>
      <w:r>
        <w:rPr>
          <w:rFonts w:cs="Bitstream Charter" w:ascii="Tahoma" w:hAnsi="Tahoma"/>
          <w:b w:val="false"/>
          <w:bCs w:val="false"/>
          <w:sz w:val="19"/>
          <w:szCs w:val="19"/>
          <w:lang w:val="it-IT"/>
        </w:rPr>
        <w:t>p.c.</w:t>
      </w:r>
    </w:p>
    <w:p>
      <w:pPr>
        <w:pStyle w:val="Normal"/>
        <w:ind w:left="5669" w:right="0" w:hanging="0"/>
        <w:rPr>
          <w:rFonts w:eastAsia="Droid Sans Fallback" w:cs="Bitstream Charter" w:ascii="Tahoma" w:hAnsi="Tahoma"/>
          <w:color w:val="00000A"/>
          <w:sz w:val="19"/>
          <w:szCs w:val="19"/>
          <w:lang w:val="it-IT" w:eastAsia="zh-CN" w:bidi="hi-IN"/>
        </w:rPr>
      </w:pPr>
      <w:r>
        <w:rPr>
          <w:rFonts w:eastAsia="Droid Sans Fallback" w:cs="Bitstream Charter" w:ascii="Tahoma" w:hAnsi="Tahoma"/>
          <w:color w:val="00000A"/>
          <w:sz w:val="19"/>
          <w:szCs w:val="19"/>
          <w:lang w:val="it-IT" w:eastAsia="zh-CN" w:bidi="hi-IN"/>
        </w:rPr>
        <w:t>CTCU – Centro Tutela Consumatori Utenti</w:t>
      </w:r>
    </w:p>
    <w:p>
      <w:pPr>
        <w:pStyle w:val="Normal"/>
        <w:ind w:left="5669" w:right="0" w:hanging="0"/>
        <w:rPr>
          <w:rFonts w:ascii="Tahoma" w:hAnsi="Tahoma"/>
          <w:sz w:val="19"/>
          <w:szCs w:val="19"/>
          <w:lang w:val="it-IT"/>
        </w:rPr>
      </w:pPr>
      <w:r>
        <w:rPr>
          <w:rFonts w:ascii="Tahoma" w:hAnsi="Tahoma"/>
          <w:sz w:val="19"/>
          <w:szCs w:val="19"/>
          <w:lang w:val="it-IT"/>
        </w:rPr>
        <w:t>via Dodiciville, 2 – 39100 Bolzano</w:t>
      </w:r>
    </w:p>
    <w:p>
      <w:pPr>
        <w:pStyle w:val="Normal"/>
        <w:ind w:left="5669" w:right="0" w:hanging="0"/>
        <w:rPr>
          <w:rStyle w:val="Internetlink"/>
          <w:rFonts w:ascii="Tahoma" w:hAnsi="Tahoma"/>
          <w:sz w:val="19"/>
          <w:szCs w:val="19"/>
          <w:lang w:val="it-IT"/>
        </w:rPr>
      </w:pPr>
      <w:r>
        <w:rPr>
          <w:rFonts w:ascii="Tahoma" w:hAnsi="Tahoma"/>
          <w:sz w:val="19"/>
          <w:szCs w:val="19"/>
          <w:lang w:val="it-IT"/>
        </w:rPr>
        <w:t xml:space="preserve">Invio e-mail: </w:t>
      </w:r>
      <w:hyperlink r:id="rId2">
        <w:r>
          <w:rPr>
            <w:rStyle w:val="Internetlink"/>
            <w:rFonts w:ascii="Tahoma" w:hAnsi="Tahoma"/>
            <w:sz w:val="19"/>
            <w:szCs w:val="19"/>
            <w:lang w:val="it-IT"/>
          </w:rPr>
          <w:t>info@centroconsumatori.it</w:t>
        </w:r>
      </w:hyperlink>
    </w:p>
    <w:p>
      <w:pPr>
        <w:pStyle w:val="Normal"/>
        <w:rPr>
          <w:rFonts w:cs="Bitstream Charter" w:ascii="Tahoma" w:hAnsi="Tahoma"/>
          <w:b/>
          <w:bCs/>
          <w:sz w:val="19"/>
          <w:szCs w:val="19"/>
          <w:lang w:val="it-IT"/>
        </w:rPr>
      </w:pPr>
      <w:r>
        <w:rPr>
          <w:rFonts w:cs="Bitstream Charter" w:ascii="Tahoma" w:hAnsi="Tahoma"/>
          <w:b/>
          <w:bCs/>
          <w:sz w:val="19"/>
          <w:szCs w:val="19"/>
          <w:lang w:val="it-IT"/>
        </w:rPr>
      </w:r>
    </w:p>
    <w:p>
      <w:pPr>
        <w:pStyle w:val="Normal"/>
        <w:rPr>
          <w:rFonts w:cs="Bitstream Charter" w:ascii="Tahoma" w:hAnsi="Tahoma"/>
          <w:b/>
          <w:bCs/>
          <w:sz w:val="19"/>
          <w:szCs w:val="19"/>
          <w:lang w:val="it-IT"/>
        </w:rPr>
      </w:pPr>
      <w:r>
        <w:rPr>
          <w:rFonts w:cs="Bitstream Charter" w:ascii="Tahoma" w:hAnsi="Tahoma"/>
          <w:b/>
          <w:bCs/>
          <w:i w:val="false"/>
          <w:iCs w:val="false"/>
          <w:sz w:val="19"/>
          <w:szCs w:val="19"/>
          <w:lang w:val="it-IT"/>
        </w:rPr>
        <w:t>Nome Cognome</w:t>
      </w:r>
      <w:r>
        <w:rPr>
          <w:rFonts w:cs="Bitstream Charter" w:ascii="Tahoma" w:hAnsi="Tahoma"/>
          <w:b/>
          <w:bCs/>
          <w:sz w:val="19"/>
          <w:szCs w:val="19"/>
          <w:lang w:val="it-IT"/>
        </w:rPr>
        <w:t xml:space="preserve"> – utenza n. ………………</w:t>
      </w:r>
    </w:p>
    <w:p>
      <w:pPr>
        <w:pStyle w:val="Normal"/>
        <w:rPr>
          <w:rFonts w:cs="Bitstream Charter" w:ascii="Tahoma" w:hAnsi="Tahoma"/>
          <w:b/>
          <w:bCs/>
          <w:sz w:val="19"/>
          <w:szCs w:val="19"/>
          <w:lang w:val="it-IT"/>
        </w:rPr>
      </w:pPr>
      <w:r>
        <w:rPr>
          <w:rFonts w:cs="Bitstream Charter" w:ascii="Tahoma" w:hAnsi="Tahoma"/>
          <w:b/>
          <w:bCs/>
          <w:sz w:val="19"/>
          <w:szCs w:val="19"/>
          <w:lang w:val="it-IT"/>
        </w:rPr>
        <w:t>Contratto/offerta: ………………</w:t>
      </w:r>
    </w:p>
    <w:p>
      <w:pPr>
        <w:pStyle w:val="Normal"/>
        <w:rPr>
          <w:rFonts w:cs="Bitstream Charter" w:ascii="Tahoma" w:hAnsi="Tahoma"/>
          <w:b/>
          <w:bCs/>
          <w:sz w:val="19"/>
          <w:szCs w:val="19"/>
          <w:lang w:val="it-IT"/>
        </w:rPr>
      </w:pPr>
      <w:r>
        <w:rPr>
          <w:rFonts w:cs="Bitstream Charter" w:ascii="Tahoma" w:hAnsi="Tahoma"/>
          <w:b/>
          <w:bCs/>
          <w:sz w:val="19"/>
          <w:szCs w:val="19"/>
          <w:lang w:val="it-IT"/>
        </w:rPr>
        <w:t>Contestazione modalità calcolo corrispettivo abbonamento offerte a 28 giorni e periodo di fatturazione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Spett. Società,</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il/la sottoscritto/a, ……… ………… titolare di utenza n. ……………… con contratto/offerta ……………, vi comunica quanto segue.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Da un esame delle ultime fatture da voi inviate il/la sottoscritto/a, si evince che la vostra Società provvede a calcolare il corrispettivo dovuto non più su base mensile, bensì su base “28 giorni”. Si ritiene tale comportamento in aperto contrasto, e per tale motivo illegittimo e gravemente scorretto, con il contenuto della delibera AGCOM n.121/17/CONS, la quale all'art. 1, comma 2) (modifiche all'articolo 3 della delibera 252/16/CONS), dispone chiaramente: “</w:t>
      </w:r>
      <w:r>
        <w:rPr>
          <w:rFonts w:cs="Bitstream Charter" w:ascii="Tahoma" w:hAnsi="Tahoma"/>
          <w:i/>
          <w:iCs/>
          <w:sz w:val="19"/>
          <w:szCs w:val="19"/>
          <w:lang w:val="it-IT"/>
        </w:rPr>
        <w:t>Per la telefonia fissa la cadenza di rinnovo delle offerte e della fatturazione deve essere su base mensile o suoi multipli. Per la telefonia mobile non può essere inferiore a quattro settimane. In caso di offerte convergenti con la telefonia fissa, prevale la cadenza relativa a quest'ultima</w:t>
      </w:r>
      <w:r>
        <w:rPr>
          <w:rFonts w:cs="Bitstream Charter" w:ascii="Tahoma" w:hAnsi="Tahoma"/>
          <w:sz w:val="19"/>
          <w:szCs w:val="19"/>
          <w:lang w:val="it-IT"/>
        </w:rPr>
        <w:t>”.</w:t>
      </w:r>
    </w:p>
    <w:p>
      <w:pPr>
        <w:pStyle w:val="Normal"/>
        <w:rPr>
          <w:rFonts w:cs="Bitstream Charter" w:ascii="Tahoma" w:hAnsi="Tahoma"/>
          <w:sz w:val="19"/>
          <w:szCs w:val="19"/>
          <w:lang w:val="it-IT"/>
        </w:rPr>
      </w:pPr>
      <w:r>
        <w:rPr>
          <w:rFonts w:cs="Bitstream Charter" w:ascii="Tahoma" w:hAnsi="Tahoma"/>
          <w:sz w:val="19"/>
          <w:szCs w:val="19"/>
          <w:lang w:val="it-IT"/>
        </w:rPr>
        <w:t>Tale delibera dava inoltre tempo di 90 giorni ai gestori di TLC di adeguarsi al succitato disposto, cosa che, ad oggi, non mi risulta essere avvenuta o comunicata al/la sottoscritto/a da parte della vostra Società.</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Sulla base di tale disposto il/la sottoscritto/a è richiedervi pertanto che, entro e non oltre 15 giorni dal ricevimento della presente lettera:</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numPr>
          <w:ilvl w:val="0"/>
          <w:numId w:val="1"/>
        </w:numPr>
        <w:rPr>
          <w:rFonts w:cs="Bitstream Charter" w:ascii="Tahoma" w:hAnsi="Tahoma"/>
          <w:sz w:val="19"/>
          <w:szCs w:val="19"/>
          <w:lang w:val="it-IT"/>
        </w:rPr>
      </w:pPr>
      <w:r>
        <w:rPr>
          <w:rFonts w:cs="Bitstream Charter" w:ascii="Tahoma" w:hAnsi="Tahoma"/>
          <w:sz w:val="19"/>
          <w:szCs w:val="19"/>
          <w:lang w:val="it-IT"/>
        </w:rPr>
        <w:t>gli venga applicato immediatamente il conteggio in fattura del corrispettivo secondo la modalità di calcolo con cadenza mensile e non di 28 giorni, per tutte le componenti del servizio;</w:t>
      </w:r>
    </w:p>
    <w:p>
      <w:pPr>
        <w:pStyle w:val="Normal"/>
        <w:numPr>
          <w:ilvl w:val="0"/>
          <w:numId w:val="1"/>
        </w:numPr>
        <w:rPr>
          <w:rFonts w:cs="Bitstream Charter" w:ascii="Tahoma" w:hAnsi="Tahoma"/>
          <w:sz w:val="19"/>
          <w:szCs w:val="19"/>
          <w:lang w:val="it-IT"/>
        </w:rPr>
      </w:pPr>
      <w:r>
        <w:rPr>
          <w:rFonts w:cs="Bitstream Charter" w:ascii="Tahoma" w:hAnsi="Tahoma"/>
          <w:sz w:val="19"/>
          <w:szCs w:val="19"/>
          <w:lang w:val="it-IT"/>
        </w:rPr>
        <w:t>l'emissione delle fatture avvenga su base mensile, o in alternativa bimestrale e non ogni otto settimane;</w:t>
      </w:r>
    </w:p>
    <w:p>
      <w:pPr>
        <w:pStyle w:val="Normal"/>
        <w:numPr>
          <w:ilvl w:val="0"/>
          <w:numId w:val="1"/>
        </w:numPr>
        <w:rPr>
          <w:rFonts w:cs="Bitstream Charter" w:ascii="Tahoma" w:hAnsi="Tahoma"/>
          <w:sz w:val="19"/>
          <w:szCs w:val="19"/>
          <w:lang w:val="it-IT"/>
        </w:rPr>
      </w:pPr>
      <w:r>
        <w:rPr>
          <w:rFonts w:cs="Bitstream Charter" w:ascii="Tahoma" w:hAnsi="Tahoma"/>
          <w:sz w:val="19"/>
          <w:szCs w:val="19"/>
          <w:lang w:val="it-IT"/>
        </w:rPr>
        <w:t>provvediate al ricalcolo dei corrispettivi delle fatture emesse e calcolate con tariffa a 28 giorni, con applicazione del conteggio ai sensi della delibera AGCOM di cui sopra ed al rimborso/accredito di ogni maggiore importo da voi in più calcolato o imputato a seguito del conteggio illegittimo.</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 xml:space="preserve">Il/La sottoscritto/a vi fa presente inoltre di aver provveduto sino ad oggi al saldo delle fatture emesse e recapitate e di voler provvedere anche al saldo di quelle a scadere e/o di prossima emissione, al solo fine di evitare conseguenze più gravose, </w:t>
      </w:r>
      <w:r>
        <w:rPr>
          <w:rFonts w:cs="Bitstream Charter" w:ascii="Tahoma" w:hAnsi="Tahoma"/>
          <w:sz w:val="19"/>
          <w:szCs w:val="19"/>
          <w:u w:val="single"/>
          <w:lang w:val="it-IT"/>
        </w:rPr>
        <w:t>senza alcuna rinuncia a quanto sopra contestato ed, in particolar modo senza acconsentire in alcun modo</w:t>
      </w:r>
      <w:r>
        <w:rPr>
          <w:rFonts w:cs="Bitstream Charter" w:ascii="Tahoma" w:hAnsi="Tahoma"/>
          <w:sz w:val="19"/>
          <w:szCs w:val="19"/>
          <w:lang w:val="it-IT"/>
        </w:rPr>
        <w:t xml:space="preserve"> alle condizioni e modalità di fatturazione illegittime ed ingiustificate da voi applicate.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Si invitano altresì le spett.li Autorità indipendenti in epigrafe, ciascuna per le rispettive competenze, a voler vigilare sull’operato commerciale del gestore, nonché a sanzionare qualsivoglia violazione di legge o comportamento illecito o scorretto commesso dalla stessa Società, in relazione a quanto segnalato.</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La presente vale quale costituzione in mora e quale interruzione di qualsiasi termine di decadenza e prescrizione.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Si rimane in attesa di vostro cortese riscontro nei termini di legge.</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Con ogni più ampia riserva.</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Cordiali saluti,</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t>(firma)</w:t>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sz w:val="19"/>
          <w:szCs w:val="19"/>
          <w:lang w:val="it-IT"/>
        </w:rPr>
      </w:pPr>
      <w:r>
        <w:rPr>
          <w:rFonts w:cs="Bitstream Charter" w:ascii="Tahoma" w:hAnsi="Tahoma"/>
          <w:sz w:val="19"/>
          <w:szCs w:val="19"/>
          <w:lang w:val="it-IT"/>
        </w:rPr>
      </w:r>
    </w:p>
    <w:p>
      <w:pPr>
        <w:pStyle w:val="Normal"/>
        <w:rPr>
          <w:rFonts w:cs="Bitstream Charter" w:ascii="Tahoma" w:hAnsi="Tahoma"/>
          <w:i/>
          <w:iCs/>
          <w:sz w:val="19"/>
          <w:szCs w:val="19"/>
          <w:lang w:val="it-IT"/>
        </w:rPr>
      </w:pPr>
      <w:r>
        <w:rPr>
          <w:rFonts w:cs="Bitstream Charter" w:ascii="Tahoma" w:hAnsi="Tahoma"/>
          <w:i/>
          <w:iCs/>
          <w:sz w:val="19"/>
          <w:szCs w:val="19"/>
          <w:lang w:val="it-IT"/>
        </w:rPr>
        <w:t>Nome cognome</w:t>
      </w:r>
    </w:p>
    <w:p>
      <w:pPr>
        <w:pStyle w:val="Normal"/>
        <w:rPr>
          <w:rFonts w:eastAsia="Bitstream Charter" w:cs="Bitstream Charter" w:ascii="Tahoma" w:hAnsi="Tahoma"/>
          <w:i/>
          <w:iCs/>
          <w:sz w:val="19"/>
          <w:szCs w:val="19"/>
          <w:lang w:val="it-IT"/>
        </w:rPr>
      </w:pPr>
      <w:r>
        <w:rPr>
          <w:rFonts w:eastAsia="Bitstream Charter" w:cs="Bitstream Charter" w:ascii="Tahoma" w:hAnsi="Tahoma"/>
          <w:i/>
          <w:iCs/>
          <w:sz w:val="19"/>
          <w:szCs w:val="19"/>
          <w:lang w:val="it-IT"/>
        </w:rPr>
      </w:r>
    </w:p>
    <w:p>
      <w:pPr>
        <w:pStyle w:val="Normal"/>
        <w:rPr>
          <w:rFonts w:eastAsia="Bitstream Charter" w:cs="Bitstream Charter" w:ascii="Tahoma" w:hAnsi="Tahoma"/>
          <w:i/>
          <w:iCs/>
          <w:sz w:val="19"/>
          <w:szCs w:val="19"/>
          <w:lang w:val="it-IT"/>
        </w:rPr>
      </w:pPr>
      <w:r>
        <w:rPr>
          <w:rFonts w:eastAsia="Bitstream Charter" w:cs="Bitstream Charter" w:ascii="Tahoma" w:hAnsi="Tahoma"/>
          <w:i/>
          <w:iCs/>
          <w:sz w:val="19"/>
          <w:szCs w:val="19"/>
          <w:lang w:val="it-IT"/>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roid Sans">
    <w:charset w:val="01"/>
    <w:family w:val="roman"/>
    <w:pitch w:val="variable"/>
  </w:font>
  <w:font w:name="OpenSymbol">
    <w:altName w:val="Arial Unicode MS"/>
    <w:charset w:val="02"/>
    <w:family w:val="auto"/>
    <w:pitch w:val="default"/>
  </w:font>
  <w:font w:name="Droid Sans">
    <w:charset w:val="01"/>
    <w:family w:val="swiss"/>
    <w:pitch w:val="variable"/>
  </w:font>
  <w:font w:name="Tahoma">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pPr>
      <w:widowControl w:val="false"/>
      <w:suppressAutoHyphens w:val="true"/>
      <w:bidi w:val="0"/>
      <w:jc w:val="left"/>
    </w:pPr>
    <w:rPr>
      <w:rFonts w:ascii="Droid Sans" w:hAnsi="Droid Sans" w:eastAsia="Droid Sans Fallback" w:cs="FreeSans"/>
      <w:color w:val="00000A"/>
      <w:sz w:val="24"/>
      <w:szCs w:val="24"/>
      <w:lang w:val="de-DE" w:eastAsia="zh-CN" w:bidi="hi-IN"/>
    </w:rPr>
  </w:style>
  <w:style w:type="character" w:styleId="Internetlink">
    <w:name w:val="Internetlink"/>
    <w:rPr>
      <w:color w:val="000080"/>
      <w:u w:val="single"/>
      <w:lang w:val="zxx" w:eastAsia="zxx" w:bidi="zxx"/>
    </w:rPr>
  </w:style>
  <w:style w:type="character" w:styleId="Aufzhlungszeichen">
    <w:name w:val="Aufzählungszeichen"/>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OpenSymbol"/>
    </w:rPr>
  </w:style>
  <w:style w:type="paragraph" w:styleId="Berschrift">
    <w:name w:val="Überschrift"/>
    <w:basedOn w:val="Normal"/>
    <w:next w:val="Textkrper"/>
    <w:pPr>
      <w:keepNext/>
      <w:spacing w:before="240" w:after="120"/>
    </w:pPr>
    <w:rPr>
      <w:rFonts w:ascii="Droid Sans" w:hAnsi="Droid Sans" w:eastAsia="Droid Sans Fallback"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ascii="Droid Sans" w:hAnsi="Droid Sans" w:cs="FreeSans"/>
    </w:rPr>
  </w:style>
  <w:style w:type="paragraph" w:styleId="Beschriftung">
    <w:name w:val="Beschriftung"/>
    <w:basedOn w:val="Normal"/>
    <w:pPr>
      <w:suppressLineNumbers/>
      <w:spacing w:before="120" w:after="120"/>
    </w:pPr>
    <w:rPr>
      <w:rFonts w:ascii="Droid Sans" w:hAnsi="Droid Sans" w:cs="FreeSans"/>
      <w:i/>
      <w:iCs/>
      <w:sz w:val="24"/>
      <w:szCs w:val="24"/>
    </w:rPr>
  </w:style>
  <w:style w:type="paragraph" w:styleId="Verzeichnis">
    <w:name w:val="Verzeichnis"/>
    <w:basedOn w:val="Normal"/>
    <w:pPr>
      <w:suppressLineNumbers/>
    </w:pPr>
    <w:rPr>
      <w:rFonts w:ascii="Droid Sans" w:hAnsi="Droid San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centroconsumatori.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2017-10-26T09:55:39Z</dcterms:created>
  <dc:creator>gbauhofer </dc:creator>
  <dc:language>de-DE</dc:language>
  <cp:revision>0</cp:revision>
</cp:coreProperties>
</file>