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4.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tabs>
          <w:tab w:val="left" w:pos="0" w:leader="none"/>
        </w:tabs>
        <w:spacing w:lineRule="auto" w:line="240"/>
        <w:ind w:left="0" w:right="-2" w:hanging="0"/>
        <w:rPr>
          <w:rFonts w:cs="Tahoma" w:ascii="Tahoma" w:hAnsi="Tahoma"/>
          <w:sz w:val="20"/>
          <w:szCs w:val="20"/>
        </w:rPr>
      </w:pPr>
      <w:r>
        <w:rPr>
          <w:rFonts w:cs="Tahoma" w:ascii="Tahoma" w:hAnsi="Tahoma"/>
          <w:sz w:val="20"/>
          <w:szCs w:val="20"/>
        </w:rPr>
        <w:t>_____________________________________</w:t>
      </w:r>
    </w:p>
    <w:p>
      <w:pPr>
        <w:pStyle w:val="Normal"/>
        <w:tabs>
          <w:tab w:val="left" w:pos="0" w:leader="none"/>
        </w:tabs>
        <w:spacing w:lineRule="auto" w:line="240"/>
        <w:ind w:left="0" w:right="-2" w:hanging="0"/>
        <w:rPr>
          <w:rFonts w:cs="Tahoma" w:ascii="Tahoma" w:hAnsi="Tahoma"/>
          <w:sz w:val="20"/>
          <w:szCs w:val="20"/>
        </w:rPr>
      </w:pPr>
      <w:r>
        <w:rPr>
          <w:rFonts w:cs="Tahoma" w:ascii="Tahoma" w:hAnsi="Tahoma"/>
          <w:sz w:val="20"/>
          <w:szCs w:val="20"/>
        </w:rPr>
        <w:t>_____________________________________</w:t>
      </w:r>
    </w:p>
    <w:p>
      <w:pPr>
        <w:pStyle w:val="Normal"/>
        <w:tabs>
          <w:tab w:val="left" w:pos="0" w:leader="none"/>
        </w:tabs>
        <w:spacing w:lineRule="auto" w:line="240"/>
        <w:ind w:left="0" w:right="-2" w:hanging="0"/>
        <w:rPr>
          <w:rFonts w:cs="Tahoma" w:ascii="Tahoma" w:hAnsi="Tahoma"/>
          <w:sz w:val="20"/>
          <w:szCs w:val="20"/>
        </w:rPr>
      </w:pPr>
      <w:r>
        <w:rPr>
          <w:rFonts w:cs="Tahoma" w:ascii="Tahoma" w:hAnsi="Tahoma"/>
          <w:sz w:val="20"/>
          <w:szCs w:val="20"/>
        </w:rPr>
        <w:t>_____________________________________</w:t>
      </w:r>
    </w:p>
    <w:p>
      <w:pPr>
        <w:pStyle w:val="Normal"/>
        <w:tabs>
          <w:tab w:val="left" w:pos="0" w:leader="none"/>
        </w:tabs>
        <w:spacing w:lineRule="auto" w:line="240"/>
        <w:ind w:left="0" w:right="-2" w:hanging="0"/>
        <w:rPr>
          <w:rFonts w:cs="Tahoma" w:ascii="Tahoma" w:hAnsi="Tahoma"/>
          <w:sz w:val="20"/>
          <w:szCs w:val="20"/>
        </w:rPr>
      </w:pPr>
      <w:r>
        <w:rPr>
          <w:rFonts w:cs="Tahoma" w:ascii="Tahoma" w:hAnsi="Tahoma"/>
          <w:sz w:val="20"/>
          <w:szCs w:val="20"/>
        </w:rPr>
      </w:r>
    </w:p>
    <w:p>
      <w:pPr>
        <w:pStyle w:val="Normal"/>
        <w:tabs>
          <w:tab w:val="left" w:pos="0" w:leader="none"/>
        </w:tabs>
        <w:spacing w:lineRule="auto" w:line="240"/>
        <w:ind w:left="0" w:right="-2" w:hanging="0"/>
        <w:jc w:val="right"/>
        <w:rPr>
          <w:rFonts w:cs="Tahoma" w:ascii="Tahoma" w:hAnsi="Tahoma"/>
          <w:sz w:val="20"/>
          <w:szCs w:val="20"/>
        </w:rPr>
      </w:pPr>
      <w:r>
        <w:rPr>
          <w:rFonts w:cs="Tahoma" w:ascii="Tahoma" w:hAnsi="Tahoma"/>
          <w:sz w:val="20"/>
          <w:szCs w:val="20"/>
        </w:rPr>
        <w:t>_____________________________</w:t>
      </w:r>
    </w:p>
    <w:p>
      <w:pPr>
        <w:pStyle w:val="Normal"/>
        <w:tabs>
          <w:tab w:val="left" w:pos="0" w:leader="none"/>
        </w:tabs>
        <w:spacing w:lineRule="auto" w:line="240"/>
        <w:ind w:left="0" w:right="-2" w:hanging="0"/>
        <w:jc w:val="right"/>
        <w:rPr>
          <w:rFonts w:cs="Tahoma" w:ascii="Tahoma" w:hAnsi="Tahoma"/>
          <w:i/>
          <w:sz w:val="20"/>
          <w:szCs w:val="20"/>
        </w:rPr>
      </w:pPr>
      <w:r>
        <w:rPr>
          <w:rFonts w:cs="Tahoma" w:ascii="Tahoma" w:hAnsi="Tahoma"/>
          <w:i/>
          <w:sz w:val="20"/>
          <w:szCs w:val="20"/>
        </w:rPr>
        <w:t>(luogo, data)</w:t>
      </w:r>
    </w:p>
    <w:p>
      <w:pPr>
        <w:pStyle w:val="Normal"/>
        <w:tabs>
          <w:tab w:val="left" w:pos="1620" w:leader="none"/>
        </w:tabs>
        <w:spacing w:lineRule="auto" w:line="240"/>
        <w:ind w:left="5669" w:right="0" w:hanging="0"/>
        <w:rPr>
          <w:rFonts w:cs="Tahoma" w:ascii="Tahoma" w:hAnsi="Tahoma"/>
          <w:sz w:val="20"/>
          <w:szCs w:val="20"/>
        </w:rPr>
      </w:pPr>
      <w:r>
        <w:rPr>
          <w:rFonts w:cs="Tahoma" w:ascii="Tahoma" w:hAnsi="Tahoma"/>
          <w:sz w:val="20"/>
          <w:szCs w:val="20"/>
        </w:rPr>
      </w:r>
    </w:p>
    <w:p>
      <w:pPr>
        <w:pStyle w:val="Normal"/>
        <w:tabs>
          <w:tab w:val="left" w:pos="1620" w:leader="none"/>
        </w:tabs>
        <w:spacing w:lineRule="auto" w:line="240"/>
        <w:ind w:left="5669" w:right="0" w:hanging="0"/>
        <w:jc w:val="left"/>
        <w:rPr>
          <w:rFonts w:eastAsia="Tahoma" w:cs="Tahoma" w:ascii="Tahoma" w:hAnsi="Tahoma"/>
          <w:b/>
          <w:i/>
          <w:sz w:val="20"/>
          <w:szCs w:val="20"/>
        </w:rPr>
      </w:pPr>
      <w:r>
        <w:rPr>
          <w:rFonts w:eastAsia="Tahoma" w:cs="Tahoma" w:ascii="Tahoma" w:hAnsi="Tahoma"/>
          <w:b/>
          <w:i/>
          <w:sz w:val="20"/>
          <w:szCs w:val="20"/>
        </w:rPr>
        <w:t>Raccomandata ar / PEC</w:t>
      </w:r>
    </w:p>
    <w:p>
      <w:pPr>
        <w:pStyle w:val="Normal"/>
        <w:tabs>
          <w:tab w:val="left" w:pos="1620" w:leader="none"/>
        </w:tabs>
        <w:spacing w:lineRule="auto" w:line="240"/>
        <w:ind w:left="5669" w:right="0" w:hanging="0"/>
        <w:rPr>
          <w:rFonts w:cs="Tahoma" w:ascii="Tahoma" w:hAnsi="Tahoma"/>
          <w:b w:val="false"/>
          <w:bCs w:val="false"/>
          <w:sz w:val="20"/>
          <w:szCs w:val="20"/>
        </w:rPr>
      </w:pPr>
      <w:r>
        <w:rPr>
          <w:rFonts w:cs="Tahoma" w:ascii="Tahoma" w:hAnsi="Tahoma"/>
          <w:b w:val="false"/>
          <w:bCs w:val="false"/>
          <w:sz w:val="20"/>
          <w:szCs w:val="20"/>
        </w:rPr>
        <w:t>Spett.le</w:t>
      </w:r>
    </w:p>
    <w:p>
      <w:pPr>
        <w:pStyle w:val="Normal"/>
        <w:tabs>
          <w:tab w:val="left" w:pos="1620" w:leader="none"/>
        </w:tabs>
        <w:spacing w:lineRule="auto" w:line="240"/>
        <w:ind w:left="5669" w:right="0" w:hanging="0"/>
        <w:rPr>
          <w:rFonts w:cs="Tahoma" w:ascii="Tahoma" w:hAnsi="Tahoma"/>
          <w:b/>
          <w:sz w:val="20"/>
          <w:szCs w:val="20"/>
        </w:rPr>
      </w:pPr>
      <w:r>
        <w:rPr>
          <w:rFonts w:cs="Tahoma" w:ascii="Tahoma" w:hAnsi="Tahoma"/>
          <w:b/>
          <w:sz w:val="20"/>
          <w:szCs w:val="20"/>
        </w:rPr>
        <w:t>Banca Popolare Alto Adige Spa</w:t>
      </w:r>
    </w:p>
    <w:p>
      <w:pPr>
        <w:pStyle w:val="Normal"/>
        <w:tabs>
          <w:tab w:val="left" w:pos="1620" w:leader="none"/>
        </w:tabs>
        <w:spacing w:lineRule="auto" w:line="240"/>
        <w:ind w:left="5669" w:right="0" w:hanging="0"/>
        <w:rPr>
          <w:rFonts w:cs="Tahoma" w:ascii="Tahoma" w:hAnsi="Tahoma"/>
          <w:sz w:val="20"/>
          <w:szCs w:val="20"/>
        </w:rPr>
      </w:pPr>
      <w:r>
        <w:rPr>
          <w:rFonts w:cs="Tahoma" w:ascii="Tahoma" w:hAnsi="Tahoma"/>
          <w:sz w:val="20"/>
          <w:szCs w:val="20"/>
        </w:rPr>
        <w:t>Via del Macello, 55</w:t>
      </w:r>
    </w:p>
    <w:p>
      <w:pPr>
        <w:pStyle w:val="Normal"/>
        <w:tabs>
          <w:tab w:val="left" w:pos="1620" w:leader="none"/>
        </w:tabs>
        <w:spacing w:lineRule="auto" w:line="240"/>
        <w:ind w:left="5669" w:right="0" w:hanging="0"/>
        <w:rPr>
          <w:rFonts w:cs="Tahoma" w:ascii="Tahoma" w:hAnsi="Tahoma"/>
          <w:sz w:val="20"/>
          <w:szCs w:val="20"/>
        </w:rPr>
      </w:pPr>
      <w:r>
        <w:rPr>
          <w:rFonts w:cs="Tahoma" w:ascii="Tahoma" w:hAnsi="Tahoma"/>
          <w:sz w:val="20"/>
          <w:szCs w:val="20"/>
        </w:rPr>
        <w:t>39100 BOLZANO (BZ)</w:t>
      </w:r>
    </w:p>
    <w:p>
      <w:pPr>
        <w:pStyle w:val="Normal"/>
        <w:tabs>
          <w:tab w:val="left" w:pos="1620" w:leader="none"/>
        </w:tabs>
        <w:spacing w:lineRule="auto" w:line="240"/>
        <w:ind w:left="5669" w:right="0" w:hanging="0"/>
        <w:rPr>
          <w:rFonts w:cs="Tahoma" w:ascii="Tahoma" w:hAnsi="Tahoma"/>
          <w:sz w:val="20"/>
          <w:szCs w:val="20"/>
        </w:rPr>
      </w:pPr>
      <w:r>
        <w:rPr>
          <w:rFonts w:cs="Tahoma" w:ascii="Tahoma" w:hAnsi="Tahoma"/>
          <w:sz w:val="20"/>
          <w:szCs w:val="20"/>
        </w:rPr>
        <w:t>compliance@pec.volksbank.it</w:t>
      </w:r>
    </w:p>
    <w:p>
      <w:pPr>
        <w:pStyle w:val="Normal"/>
        <w:tabs>
          <w:tab w:val="left" w:pos="1620" w:leader="none"/>
        </w:tabs>
        <w:spacing w:lineRule="auto" w:line="240" w:before="0" w:after="0"/>
        <w:ind w:left="5669" w:right="0" w:hanging="0"/>
        <w:rPr>
          <w:rFonts w:cs="Tahoma" w:ascii="Tahoma" w:hAnsi="Tahoma"/>
          <w:sz w:val="20"/>
          <w:szCs w:val="20"/>
        </w:rPr>
      </w:pPr>
      <w:r>
        <w:rPr>
          <w:rFonts w:cs="Tahoma" w:ascii="Tahoma" w:hAnsi="Tahoma"/>
          <w:sz w:val="20"/>
          <w:szCs w:val="20"/>
        </w:rPr>
      </w:r>
    </w:p>
    <w:p>
      <w:pPr>
        <w:pStyle w:val="Normal"/>
        <w:tabs>
          <w:tab w:val="left" w:pos="1620" w:leader="none"/>
        </w:tabs>
        <w:spacing w:lineRule="auto" w:line="240"/>
        <w:ind w:left="5669" w:right="0" w:hanging="0"/>
        <w:jc w:val="left"/>
        <w:rPr>
          <w:rFonts w:ascii="Tahoma" w:hAnsi="Tahoma"/>
          <w:sz w:val="20"/>
          <w:szCs w:val="20"/>
        </w:rPr>
      </w:pPr>
      <w:r>
        <w:rPr>
          <w:rFonts w:ascii="Tahoma" w:hAnsi="Tahoma"/>
          <w:sz w:val="20"/>
          <w:szCs w:val="20"/>
        </w:rPr>
      </w:r>
    </w:p>
    <w:p>
      <w:pPr>
        <w:pStyle w:val="Normal"/>
        <w:tabs>
          <w:tab w:val="left" w:pos="1620" w:leader="none"/>
        </w:tabs>
        <w:spacing w:lineRule="auto" w:line="240"/>
        <w:ind w:left="5669" w:right="0" w:hanging="0"/>
        <w:jc w:val="left"/>
        <w:rPr>
          <w:rFonts w:cs="Tahoma" w:ascii="Tahoma" w:hAnsi="Tahoma"/>
          <w:b/>
          <w:i/>
          <w:sz w:val="20"/>
          <w:szCs w:val="20"/>
        </w:rPr>
      </w:pPr>
      <w:r>
        <w:rPr>
          <w:rFonts w:cs="Tahoma" w:ascii="Tahoma" w:hAnsi="Tahoma"/>
          <w:b/>
          <w:i/>
          <w:sz w:val="20"/>
          <w:szCs w:val="20"/>
        </w:rPr>
        <w:t>e p.c.</w:t>
      </w:r>
    </w:p>
    <w:p>
      <w:pPr>
        <w:pStyle w:val="Normal"/>
        <w:tabs>
          <w:tab w:val="left" w:pos="1620" w:leader="none"/>
        </w:tabs>
        <w:spacing w:lineRule="auto" w:line="240"/>
        <w:ind w:left="5669" w:right="0" w:hanging="0"/>
        <w:jc w:val="left"/>
        <w:rPr>
          <w:rFonts w:cs="Tahoma" w:ascii="Tahoma" w:hAnsi="Tahoma"/>
          <w:b/>
          <w:sz w:val="20"/>
          <w:szCs w:val="20"/>
        </w:rPr>
      </w:pPr>
      <w:r>
        <w:rPr>
          <w:rFonts w:cs="Tahoma" w:ascii="Tahoma" w:hAnsi="Tahoma"/>
          <w:b/>
          <w:sz w:val="20"/>
          <w:szCs w:val="20"/>
        </w:rPr>
        <w:t>Centro Tutela Consumatori Utenti</w:t>
      </w:r>
    </w:p>
    <w:p>
      <w:pPr>
        <w:pStyle w:val="Normal"/>
        <w:tabs>
          <w:tab w:val="left" w:pos="1620" w:leader="none"/>
        </w:tabs>
        <w:spacing w:lineRule="auto" w:line="240"/>
        <w:ind w:left="5669" w:right="0" w:hanging="0"/>
        <w:jc w:val="left"/>
        <w:rPr>
          <w:rFonts w:cs="Tahoma" w:ascii="Tahoma" w:hAnsi="Tahoma"/>
          <w:sz w:val="20"/>
          <w:szCs w:val="20"/>
        </w:rPr>
      </w:pPr>
      <w:r>
        <w:rPr>
          <w:rFonts w:cs="Tahoma" w:ascii="Tahoma" w:hAnsi="Tahoma"/>
          <w:sz w:val="20"/>
          <w:szCs w:val="20"/>
        </w:rPr>
        <w:t>Via Dodic</w:t>
      </w:r>
      <w:r>
        <w:rPr>
          <w:rFonts w:cs="Tahoma" w:ascii="Tahoma" w:hAnsi="Tahoma"/>
          <w:sz w:val="20"/>
          <w:szCs w:val="20"/>
        </w:rPr>
        <w:t>ivi</w:t>
      </w:r>
      <w:r>
        <w:rPr>
          <w:rFonts w:cs="Tahoma" w:ascii="Tahoma" w:hAnsi="Tahoma"/>
          <w:sz w:val="20"/>
          <w:szCs w:val="20"/>
        </w:rPr>
        <w:t>lle n. 2</w:t>
      </w:r>
    </w:p>
    <w:p>
      <w:pPr>
        <w:pStyle w:val="Normal"/>
        <w:tabs>
          <w:tab w:val="left" w:pos="1620" w:leader="none"/>
        </w:tabs>
        <w:spacing w:lineRule="auto" w:line="240"/>
        <w:ind w:left="5669" w:right="0" w:hanging="0"/>
        <w:jc w:val="left"/>
        <w:rPr>
          <w:rFonts w:cs="Tahoma" w:ascii="Tahoma" w:hAnsi="Tahoma"/>
          <w:sz w:val="20"/>
          <w:szCs w:val="20"/>
        </w:rPr>
      </w:pPr>
      <w:r>
        <w:rPr>
          <w:rFonts w:cs="Tahoma" w:ascii="Tahoma" w:hAnsi="Tahoma"/>
          <w:sz w:val="20"/>
          <w:szCs w:val="20"/>
        </w:rPr>
        <w:t>39100 BOLZANO (BZ)</w:t>
      </w:r>
    </w:p>
    <w:p>
      <w:pPr>
        <w:pStyle w:val="Normal"/>
        <w:tabs>
          <w:tab w:val="left" w:pos="1620" w:leader="none"/>
        </w:tabs>
        <w:spacing w:lineRule="auto" w:line="240"/>
        <w:ind w:left="5669" w:right="0" w:hanging="0"/>
        <w:jc w:val="left"/>
        <w:rPr>
          <w:rFonts w:cs="Tahoma" w:ascii="Tahoma" w:hAnsi="Tahoma"/>
          <w:b/>
          <w:i/>
          <w:sz w:val="20"/>
          <w:szCs w:val="20"/>
        </w:rPr>
      </w:pPr>
      <w:r>
        <w:rPr>
          <w:rFonts w:cs="Tahoma" w:ascii="Tahoma" w:hAnsi="Tahoma"/>
          <w:b/>
          <w:i/>
          <w:sz w:val="20"/>
          <w:szCs w:val="20"/>
        </w:rPr>
        <w:t>info@consumer.bz.it</w:t>
      </w:r>
    </w:p>
    <w:p>
      <w:pPr>
        <w:pStyle w:val="Normal"/>
        <w:tabs>
          <w:tab w:val="left" w:pos="0" w:leader="none"/>
          <w:tab w:val="left" w:pos="1620" w:leader="none"/>
        </w:tabs>
        <w:spacing w:lineRule="auto" w:line="240"/>
        <w:ind w:left="5669" w:right="0" w:hanging="0"/>
        <w:rPr>
          <w:rFonts w:cs="Tahoma" w:ascii="Tahoma" w:hAnsi="Tahoma"/>
          <w:sz w:val="20"/>
          <w:szCs w:val="20"/>
        </w:rPr>
      </w:pPr>
      <w:r>
        <w:rPr>
          <w:rFonts w:cs="Tahoma" w:ascii="Tahoma" w:hAnsi="Tahoma"/>
          <w:sz w:val="20"/>
          <w:szCs w:val="20"/>
        </w:rPr>
      </w:r>
    </w:p>
    <w:p>
      <w:pPr>
        <w:pStyle w:val="Normal"/>
        <w:tabs>
          <w:tab w:val="left" w:pos="1620" w:leader="none"/>
        </w:tabs>
        <w:spacing w:lineRule="auto" w:line="240"/>
        <w:ind w:left="5669" w:right="0" w:hanging="0"/>
        <w:rPr>
          <w:rFonts w:cs="Tahoma" w:ascii="Tahoma" w:hAnsi="Tahoma"/>
          <w:b/>
          <w:bCs/>
          <w:sz w:val="20"/>
          <w:szCs w:val="20"/>
          <w:u w:val="none"/>
        </w:rPr>
      </w:pPr>
      <w:r>
        <w:rPr>
          <w:rFonts w:cs="Tahoma" w:ascii="Tahoma" w:hAnsi="Tahoma"/>
          <w:b/>
          <w:bCs/>
          <w:sz w:val="20"/>
          <w:szCs w:val="20"/>
          <w:u w:val="none"/>
        </w:rPr>
      </w:r>
    </w:p>
    <w:p>
      <w:pPr>
        <w:pStyle w:val="Normal"/>
        <w:widowControl/>
        <w:tabs>
          <w:tab w:val="left" w:pos="142" w:leader="none"/>
        </w:tabs>
        <w:suppressAutoHyphens w:val="true"/>
        <w:bidi w:val="0"/>
        <w:spacing w:lineRule="auto" w:line="240"/>
        <w:jc w:val="left"/>
        <w:rPr>
          <w:rFonts w:cs="Tahoma" w:ascii="Tahoma" w:hAnsi="Tahoma"/>
          <w:b/>
          <w:bCs/>
          <w:sz w:val="20"/>
          <w:szCs w:val="20"/>
          <w:u w:val="none"/>
        </w:rPr>
      </w:pPr>
      <w:r>
        <w:rPr>
          <w:rFonts w:cs="Tahoma" w:ascii="Tahoma" w:hAnsi="Tahoma"/>
          <w:b/>
          <w:bCs/>
          <w:sz w:val="20"/>
          <w:szCs w:val="20"/>
          <w:u w:val="none"/>
        </w:rPr>
        <w:t xml:space="preserve">Reclamo per la vendita di azioni emesse dalla Banca Popolare dell'Alto Adige - Richiesta di risarcimento danni per responsabilità contrattuale, extracontrattuale e precontrattuale - </w:t>
      </w:r>
      <w:r>
        <w:rPr>
          <w:rFonts w:eastAsia="Garamond" w:cs="Tahoma" w:ascii="Tahoma" w:hAnsi="Tahoma"/>
          <w:b/>
          <w:bCs/>
          <w:sz w:val="20"/>
          <w:szCs w:val="20"/>
          <w:u w:val="none"/>
        </w:rPr>
        <w:t>I</w:t>
      </w:r>
      <w:r>
        <w:rPr>
          <w:rFonts w:cs="Tahoma" w:ascii="Tahoma" w:hAnsi="Tahoma"/>
          <w:b/>
          <w:bCs/>
          <w:sz w:val="20"/>
          <w:szCs w:val="20"/>
          <w:u w:val="none"/>
        </w:rPr>
        <w:t>nterruzione dei termini di ogni prescrizione.</w:t>
      </w:r>
    </w:p>
    <w:p>
      <w:pPr>
        <w:pStyle w:val="Normal"/>
        <w:tabs>
          <w:tab w:val="left" w:pos="0" w:leader="none"/>
        </w:tabs>
        <w:spacing w:lineRule="auto" w:line="240"/>
        <w:ind w:left="0" w:right="-2" w:hanging="0"/>
        <w:rPr>
          <w:rFonts w:cs="Tahoma" w:ascii="Tahoma" w:hAnsi="Tahoma"/>
          <w:sz w:val="20"/>
          <w:szCs w:val="20"/>
          <w:u w:val="single"/>
        </w:rPr>
      </w:pPr>
      <w:r>
        <w:rPr>
          <w:rFonts w:cs="Tahoma" w:ascii="Tahoma" w:hAnsi="Tahoma"/>
          <w:sz w:val="20"/>
          <w:szCs w:val="20"/>
          <w:u w:val="single"/>
        </w:rPr>
      </w:r>
    </w:p>
    <w:p>
      <w:pPr>
        <w:pStyle w:val="Normal"/>
        <w:tabs>
          <w:tab w:val="left" w:pos="0" w:leader="none"/>
        </w:tabs>
        <w:spacing w:lineRule="auto" w:line="240"/>
        <w:ind w:left="0" w:right="-2" w:hanging="0"/>
        <w:rPr>
          <w:rFonts w:cs="Tahoma" w:ascii="Tahoma" w:hAnsi="Tahoma"/>
          <w:sz w:val="20"/>
          <w:szCs w:val="20"/>
        </w:rPr>
      </w:pPr>
      <w:r>
        <w:rPr>
          <w:rFonts w:cs="Tahoma" w:ascii="Tahoma" w:hAnsi="Tahoma"/>
          <w:sz w:val="20"/>
          <w:szCs w:val="20"/>
        </w:rPr>
        <w:t>Il/La sottoscritto/a ______________________________________________________________</w:t>
      </w:r>
    </w:p>
    <w:p>
      <w:pPr>
        <w:pStyle w:val="Normal"/>
        <w:tabs>
          <w:tab w:val="left" w:pos="0" w:leader="none"/>
        </w:tabs>
        <w:spacing w:lineRule="auto" w:line="240" w:before="120" w:after="0"/>
        <w:rPr>
          <w:rFonts w:cs="Tahoma" w:ascii="Tahoma" w:hAnsi="Tahoma"/>
          <w:sz w:val="20"/>
          <w:szCs w:val="20"/>
        </w:rPr>
      </w:pPr>
      <w:r>
        <w:rPr>
          <w:rFonts w:cs="Tahoma" w:ascii="Tahoma" w:hAnsi="Tahoma"/>
          <w:sz w:val="20"/>
          <w:szCs w:val="20"/>
        </w:rPr>
        <w:t xml:space="preserve">nato/a a __________________________________________________ in data ___/___/_____, </w:t>
      </w:r>
    </w:p>
    <w:p>
      <w:pPr>
        <w:pStyle w:val="Normal"/>
        <w:tabs>
          <w:tab w:val="left" w:pos="0" w:leader="none"/>
        </w:tabs>
        <w:spacing w:lineRule="auto" w:line="240" w:before="120" w:after="0"/>
        <w:rPr>
          <w:rFonts w:cs="Tahoma" w:ascii="Tahoma" w:hAnsi="Tahoma"/>
          <w:sz w:val="20"/>
          <w:szCs w:val="20"/>
        </w:rPr>
      </w:pPr>
      <w:r>
        <w:rPr>
          <w:rFonts w:cs="Tahoma" w:ascii="Tahoma" w:hAnsi="Tahoma"/>
          <w:sz w:val="20"/>
          <w:szCs w:val="20"/>
        </w:rPr>
        <w:t>residente in ______________________, in Via _____________________________ n. ____ ,</w:t>
      </w:r>
    </w:p>
    <w:p>
      <w:pPr>
        <w:pStyle w:val="Normal"/>
        <w:tabs>
          <w:tab w:val="left" w:pos="0" w:leader="none"/>
        </w:tabs>
        <w:spacing w:lineRule="auto" w:line="240" w:before="120" w:after="0"/>
        <w:rPr>
          <w:rFonts w:cs="Tahoma" w:ascii="Tahoma" w:hAnsi="Tahoma"/>
          <w:sz w:val="20"/>
          <w:szCs w:val="20"/>
        </w:rPr>
      </w:pPr>
      <w:r>
        <w:rPr>
          <w:rFonts w:cs="Tahoma" w:ascii="Tahoma" w:hAnsi="Tahoma"/>
          <w:sz w:val="20"/>
          <w:szCs w:val="20"/>
        </w:rPr>
        <w:t xml:space="preserve">con riferimento all’acquisto di azioni proprie emesse dalla Banca Popolare dell'Alto Adige </w:t>
      </w:r>
      <w:r>
        <w:rPr>
          <w:rFonts w:cs="Tahoma" w:ascii="Tahoma" w:hAnsi="Tahoma"/>
          <w:sz w:val="20"/>
          <w:szCs w:val="20"/>
          <w:shd w:fill="FFFFFF" w:val="clear"/>
        </w:rPr>
        <w:t>deduce e contesta al Vs. Istituto di credito</w:t>
      </w:r>
      <w:r>
        <w:rPr>
          <w:rFonts w:cs="Tahoma" w:ascii="Tahoma" w:hAnsi="Tahoma"/>
          <w:sz w:val="20"/>
          <w:szCs w:val="20"/>
        </w:rPr>
        <w:t xml:space="preserve"> quanto segue.</w:t>
      </w:r>
    </w:p>
    <w:p>
      <w:pPr>
        <w:pStyle w:val="Normal"/>
        <w:tabs>
          <w:tab w:val="left" w:pos="0" w:leader="none"/>
        </w:tabs>
        <w:spacing w:lineRule="auto" w:line="240"/>
        <w:ind w:left="0" w:right="-2" w:hanging="0"/>
        <w:rPr>
          <w:rFonts w:cs="Tahoma" w:ascii="Tahoma" w:hAnsi="Tahoma"/>
          <w:sz w:val="20"/>
          <w:szCs w:val="20"/>
        </w:rPr>
      </w:pPr>
      <w:r>
        <w:rPr>
          <w:rFonts w:cs="Tahoma" w:ascii="Tahoma" w:hAnsi="Tahoma"/>
          <w:sz w:val="20"/>
          <w:szCs w:val="20"/>
        </w:rPr>
      </w:r>
    </w:p>
    <w:p>
      <w:pPr>
        <w:pStyle w:val="Normal"/>
        <w:tabs>
          <w:tab w:val="left" w:pos="0" w:leader="none"/>
        </w:tabs>
        <w:spacing w:lineRule="auto" w:line="240"/>
        <w:ind w:left="0" w:right="-2" w:hanging="0"/>
        <w:rPr>
          <w:rFonts w:cs="Tahoma" w:ascii="Tahoma" w:hAnsi="Tahoma"/>
          <w:sz w:val="20"/>
          <w:szCs w:val="20"/>
        </w:rPr>
      </w:pPr>
      <w:r>
        <w:rPr>
          <w:rFonts w:cs="Tahoma" w:ascii="Tahoma" w:hAnsi="Tahoma"/>
          <w:sz w:val="20"/>
          <w:szCs w:val="20"/>
        </w:rPr>
        <w:t>Nel procedere alla vendita delle suddette azioni, che sono strumenti finanziari ad alto rischio in quanto illiquidi, poiché non quotati in alcun mercato regolamentato, il vostro Istituto non ha correttamente rilevato le informazioni finanziarie dello scrivente, considerato la rischiosità del titolo raccomandato e, conseguentemente, valutato l’inadeguatezza e/o l’inappropriatezza del prodotto finanziario rispetto al profilo di rischio, agli obiettivi d’investimento, nonché alla conoscenza ed esperienza in prodotti finanziari attribuibili al sottoscritto.</w:t>
      </w:r>
    </w:p>
    <w:p>
      <w:pPr>
        <w:pStyle w:val="Normal"/>
        <w:tabs>
          <w:tab w:val="left" w:pos="0" w:leader="none"/>
        </w:tabs>
        <w:spacing w:lineRule="auto" w:line="240"/>
        <w:ind w:left="0" w:right="-2" w:hanging="0"/>
        <w:rPr>
          <w:rFonts w:cs="Tahoma" w:ascii="Tahoma" w:hAnsi="Tahoma"/>
          <w:sz w:val="20"/>
          <w:szCs w:val="20"/>
        </w:rPr>
      </w:pPr>
      <w:r>
        <w:rPr>
          <w:rFonts w:cs="Tahoma" w:ascii="Tahoma" w:hAnsi="Tahoma"/>
          <w:sz w:val="20"/>
          <w:szCs w:val="20"/>
        </w:rPr>
      </w:r>
    </w:p>
    <w:p>
      <w:pPr>
        <w:pStyle w:val="Normal"/>
        <w:tabs>
          <w:tab w:val="left" w:pos="0" w:leader="none"/>
        </w:tabs>
        <w:spacing w:lineRule="auto" w:line="240"/>
        <w:ind w:left="0" w:right="-2" w:hanging="0"/>
        <w:rPr>
          <w:rFonts w:eastAsia="Times New Roman" w:cs="Times New Roman" w:ascii="Tahoma" w:hAnsi="Tahoma"/>
          <w:b w:val="false"/>
          <w:i w:val="false"/>
          <w:caps w:val="false"/>
          <w:smallCaps w:val="false"/>
          <w:color w:val="00000A"/>
          <w:spacing w:val="0"/>
          <w:sz w:val="20"/>
          <w:szCs w:val="20"/>
          <w:lang w:val="it-IT" w:bidi="ar-SA"/>
        </w:rPr>
      </w:pPr>
      <w:r>
        <w:rPr>
          <w:rFonts w:eastAsia="Times New Roman" w:cs="Times New Roman" w:ascii="Tahoma" w:hAnsi="Tahoma"/>
          <w:b w:val="false"/>
          <w:i w:val="false"/>
          <w:caps w:val="false"/>
          <w:smallCaps w:val="false"/>
          <w:color w:val="00000A"/>
          <w:spacing w:val="0"/>
          <w:sz w:val="20"/>
          <w:szCs w:val="20"/>
          <w:lang w:val="it-IT" w:bidi="ar-SA"/>
        </w:rPr>
        <w:t xml:space="preserve">Inoltre nella scheda-prodotto diffusa dal 2012 viene anche precisato che: </w:t>
      </w:r>
    </w:p>
    <w:p>
      <w:pPr>
        <w:pStyle w:val="Normal"/>
        <w:tabs>
          <w:tab w:val="left" w:pos="0" w:leader="none"/>
        </w:tabs>
        <w:spacing w:lineRule="auto" w:line="240"/>
        <w:ind w:left="0" w:right="-2" w:hanging="0"/>
        <w:rPr>
          <w:rFonts w:eastAsia="Times New Roman" w:cs="Times New Roman" w:ascii="Tahoma" w:hAnsi="Tahoma"/>
          <w:b w:val="false"/>
          <w:i w:val="false"/>
          <w:caps w:val="false"/>
          <w:smallCaps w:val="false"/>
          <w:color w:val="00000A"/>
          <w:spacing w:val="0"/>
          <w:sz w:val="20"/>
          <w:szCs w:val="20"/>
          <w:shd w:fill="FFFFFF" w:val="clear"/>
          <w:lang w:val="it-IT" w:bidi="ar-SA"/>
        </w:rPr>
      </w:pPr>
      <w:r>
        <w:rPr>
          <w:rFonts w:eastAsia="Times New Roman" w:cs="Times New Roman" w:ascii="Tahoma" w:hAnsi="Tahoma"/>
          <w:b w:val="false"/>
          <w:i w:val="false"/>
          <w:caps w:val="false"/>
          <w:smallCaps w:val="false"/>
          <w:color w:val="00000A"/>
          <w:spacing w:val="0"/>
          <w:sz w:val="20"/>
          <w:szCs w:val="20"/>
          <w:shd w:fill="FFFFFF" w:val="clear"/>
          <w:lang w:val="it-IT" w:bidi="ar-SA"/>
        </w:rPr>
        <w:t>a) “</w:t>
      </w:r>
      <w:r>
        <w:rPr>
          <w:rFonts w:eastAsia="Times New Roman" w:cs="Times New Roman" w:ascii="Tahoma" w:hAnsi="Tahoma"/>
          <w:b w:val="false"/>
          <w:i w:val="false"/>
          <w:caps w:val="false"/>
          <w:smallCaps w:val="false"/>
          <w:color w:val="00000A"/>
          <w:spacing w:val="0"/>
          <w:sz w:val="20"/>
          <w:szCs w:val="20"/>
          <w:u w:val="single"/>
          <w:shd w:fill="FFFFFF" w:val="clear"/>
          <w:lang w:val="it-IT" w:bidi="ar-SA"/>
        </w:rPr>
        <w:t>Il prezzo limite non può scendere sotto il prezzo di emissione delle Azioni</w:t>
      </w:r>
      <w:r>
        <w:rPr>
          <w:rFonts w:eastAsia="Times New Roman" w:cs="Times New Roman" w:ascii="Tahoma" w:hAnsi="Tahoma"/>
          <w:b w:val="false"/>
          <w:i w:val="false"/>
          <w:caps w:val="false"/>
          <w:smallCaps w:val="false"/>
          <w:color w:val="00000A"/>
          <w:spacing w:val="0"/>
          <w:sz w:val="20"/>
          <w:szCs w:val="20"/>
          <w:shd w:fill="FFFFFF" w:val="clear"/>
          <w:lang w:val="it-IT" w:bidi="ar-SA"/>
        </w:rPr>
        <w:t>”;</w:t>
      </w:r>
    </w:p>
    <w:p>
      <w:pPr>
        <w:pStyle w:val="Normal"/>
        <w:tabs>
          <w:tab w:val="left" w:pos="0" w:leader="none"/>
        </w:tabs>
        <w:spacing w:lineRule="auto" w:line="240"/>
        <w:ind w:left="0" w:right="-2" w:hanging="0"/>
        <w:rPr>
          <w:rFonts w:eastAsia="Times New Roman" w:cs="Times New Roman" w:ascii="Tahoma" w:hAnsi="Tahoma"/>
          <w:b w:val="false"/>
          <w:i w:val="false"/>
          <w:caps w:val="false"/>
          <w:smallCaps w:val="false"/>
          <w:color w:val="00000A"/>
          <w:spacing w:val="0"/>
          <w:sz w:val="20"/>
          <w:szCs w:val="20"/>
          <w:lang w:val="it-IT" w:bidi="ar-SA"/>
        </w:rPr>
      </w:pPr>
      <w:r>
        <w:rPr>
          <w:rFonts w:eastAsia="Times New Roman" w:cs="Times New Roman" w:ascii="Tahoma" w:hAnsi="Tahoma"/>
          <w:b w:val="false"/>
          <w:i w:val="false"/>
          <w:caps w:val="false"/>
          <w:smallCaps w:val="false"/>
          <w:color w:val="00000A"/>
          <w:spacing w:val="0"/>
          <w:sz w:val="20"/>
          <w:szCs w:val="20"/>
          <w:lang w:val="it-IT" w:bidi="ar-SA"/>
        </w:rPr>
        <w:t>b) “</w:t>
      </w:r>
      <w:r>
        <w:rPr>
          <w:rFonts w:eastAsia="Times New Roman" w:cs="Times New Roman" w:ascii="Tahoma" w:hAnsi="Tahoma"/>
          <w:b w:val="false"/>
          <w:i w:val="false"/>
          <w:caps w:val="false"/>
          <w:smallCaps w:val="false"/>
          <w:color w:val="00000A"/>
          <w:spacing w:val="0"/>
          <w:sz w:val="20"/>
          <w:szCs w:val="20"/>
          <w:u w:val="single"/>
          <w:lang w:val="it-IT" w:bidi="ar-SA"/>
        </w:rPr>
        <w:t>Il prezzo di emissione delle Azioni costituisce il limite inferiore sotto il quale non può scendere il prezzo di scambio delle Azioni sulla succitata piattaforma di negoziazione</w:t>
      </w:r>
      <w:r>
        <w:rPr>
          <w:rFonts w:eastAsia="Times New Roman" w:cs="Times New Roman" w:ascii="Tahoma" w:hAnsi="Tahoma"/>
          <w:b w:val="false"/>
          <w:i w:val="false"/>
          <w:caps w:val="false"/>
          <w:smallCaps w:val="false"/>
          <w:color w:val="00000A"/>
          <w:spacing w:val="0"/>
          <w:sz w:val="20"/>
          <w:szCs w:val="20"/>
          <w:lang w:val="it-IT" w:bidi="ar-SA"/>
        </w:rPr>
        <w:t xml:space="preserve">”. </w:t>
      </w:r>
    </w:p>
    <w:p>
      <w:pPr>
        <w:pStyle w:val="Normal"/>
        <w:tabs>
          <w:tab w:val="left" w:pos="0" w:leader="none"/>
        </w:tabs>
        <w:spacing w:lineRule="auto" w:line="240"/>
        <w:ind w:left="0" w:right="-2" w:hanging="0"/>
        <w:rPr>
          <w:rFonts w:cs="Tahoma" w:ascii="Tahoma" w:hAnsi="Tahoma"/>
          <w:sz w:val="20"/>
          <w:szCs w:val="20"/>
        </w:rPr>
      </w:pPr>
      <w:r>
        <w:rPr>
          <w:rFonts w:cs="Tahoma" w:ascii="Tahoma" w:hAnsi="Tahoma"/>
          <w:sz w:val="20"/>
          <w:szCs w:val="20"/>
        </w:rPr>
      </w:r>
    </w:p>
    <w:p>
      <w:pPr>
        <w:pStyle w:val="Normal"/>
        <w:shd w:fill="FFFFFF" w:val="clear"/>
        <w:tabs>
          <w:tab w:val="left" w:pos="0" w:leader="none"/>
        </w:tabs>
        <w:spacing w:lineRule="auto" w:line="240"/>
        <w:ind w:left="0" w:right="-2" w:hanging="0"/>
        <w:rPr>
          <w:rFonts w:eastAsia="Times New Roman" w:cs="Times New Roman" w:ascii="Tahoma" w:hAnsi="Tahoma"/>
          <w:b w:val="false"/>
          <w:i w:val="false"/>
          <w:caps w:val="false"/>
          <w:smallCaps w:val="false"/>
          <w:color w:val="00000A"/>
          <w:spacing w:val="0"/>
          <w:sz w:val="20"/>
          <w:szCs w:val="20"/>
          <w:lang w:val="it-IT" w:bidi="ar-SA"/>
        </w:rPr>
      </w:pPr>
      <w:r>
        <w:rPr>
          <w:rFonts w:eastAsia="Times New Roman" w:cs="Times New Roman" w:ascii="Tahoma" w:hAnsi="Tahoma"/>
          <w:b w:val="false"/>
          <w:i w:val="false"/>
          <w:caps w:val="false"/>
          <w:smallCaps w:val="false"/>
          <w:color w:val="00000A"/>
          <w:spacing w:val="0"/>
          <w:sz w:val="20"/>
          <w:szCs w:val="20"/>
          <w:shd w:fill="FFFFFF" w:val="clear"/>
          <w:lang w:val="it-IT" w:bidi="ar-SA"/>
        </w:rPr>
        <w:t xml:space="preserve">Con dette indicazioni, </w:t>
      </w:r>
      <w:r>
        <w:rPr>
          <w:rFonts w:eastAsia="Times New Roman" w:cs="Times New Roman" w:ascii="Tahoma" w:hAnsi="Tahoma"/>
          <w:b w:val="false"/>
          <w:i w:val="false"/>
          <w:caps w:val="false"/>
          <w:smallCaps w:val="false"/>
          <w:color w:val="00000A"/>
          <w:spacing w:val="0"/>
          <w:sz w:val="20"/>
          <w:szCs w:val="20"/>
          <w:lang w:val="it-IT" w:bidi="ar-SA"/>
        </w:rPr>
        <w:t>il vostro Istituto ha fatto intendere, al momento dell'acquisto, che, in caso di vendita attraverso la piattaforma ICPBI, il prezzo di scambio dell'azione non sarebbe potuto scendere al di sotto del prezzo di emissione al quale il risparmiatore aveva acquistato le sue azioni. Con ciò il vostro Istituto ha fornito allo stesso un'informazione, da un lato, rassicurante per il cliente che il suo investimento nelle azioni sarebbe stato protetto da eventuali oscillazioni di prezzo verso il basso sul mercato; dall'altro lato però, visto l'attuale valore di scambio delle vostre azioni (per non parlare dell'estrema difficoltà a rendere liquido lo stesso investimento), tale informazione non può che essere considerata assolutamente non aderente alla realtà dei fatti e in ogni caso ingannevole e fuorviante. Vi ricordiamo che, ai sensi del comma 1. dell'art 27 della delibera Consob n. 16190 del 29.10.2007, “T</w:t>
      </w:r>
      <w:r>
        <w:rPr>
          <w:rFonts w:eastAsia="Times New Roman" w:cs="Times New Roman" w:ascii="Tahoma" w:hAnsi="Tahoma"/>
          <w:b w:val="false"/>
          <w:i/>
          <w:iCs/>
          <w:caps w:val="false"/>
          <w:smallCaps w:val="false"/>
          <w:color w:val="00000A"/>
          <w:spacing w:val="0"/>
          <w:sz w:val="20"/>
          <w:szCs w:val="20"/>
          <w:lang w:val="it-IT" w:bidi="ar-SA"/>
        </w:rPr>
        <w:t>utte le informazioni, comprese le comunicazioni pubblicitarie e promozionali, indirizzate dagli intermediari ai clienti o ai potenziali clienti, devono essere corrette, chiare e non fuorvianti</w:t>
      </w:r>
      <w:r>
        <w:rPr>
          <w:rFonts w:eastAsia="Times New Roman" w:cs="Times New Roman" w:ascii="Tahoma" w:hAnsi="Tahoma"/>
          <w:b w:val="false"/>
          <w:i w:val="false"/>
          <w:caps w:val="false"/>
          <w:smallCaps w:val="false"/>
          <w:color w:val="00000A"/>
          <w:spacing w:val="0"/>
          <w:sz w:val="20"/>
          <w:szCs w:val="20"/>
          <w:lang w:val="it-IT" w:bidi="ar-SA"/>
        </w:rPr>
        <w:t xml:space="preserve">”. Non pare dunque che, nel caso in questione, il vostro Istituto abbia rispettato tale disposto. È di tutta evidenza che il risparmiatore sia stato quindi indotto attraverso tale non secondaria, informazione contenuta nella scheda-prodotto dell'azione ad acquistare le vostre azioni.  </w:t>
      </w:r>
    </w:p>
    <w:p>
      <w:pPr>
        <w:pStyle w:val="Normal"/>
        <w:tabs>
          <w:tab w:val="left" w:pos="0" w:leader="none"/>
        </w:tabs>
        <w:spacing w:lineRule="auto" w:line="240"/>
        <w:ind w:left="0" w:right="-2" w:hanging="0"/>
        <w:rPr>
          <w:rFonts w:cs="Tahoma" w:ascii="Tahoma" w:hAnsi="Tahoma"/>
          <w:sz w:val="20"/>
          <w:szCs w:val="20"/>
        </w:rPr>
      </w:pPr>
      <w:r>
        <w:rPr>
          <w:rFonts w:cs="Tahoma" w:ascii="Tahoma" w:hAnsi="Tahoma"/>
          <w:sz w:val="20"/>
          <w:szCs w:val="20"/>
        </w:rPr>
      </w:r>
    </w:p>
    <w:p>
      <w:pPr>
        <w:pStyle w:val="Normal"/>
        <w:tabs>
          <w:tab w:val="left" w:pos="0" w:leader="none"/>
        </w:tabs>
        <w:spacing w:lineRule="auto" w:line="240"/>
        <w:ind w:left="0" w:right="-2" w:hanging="0"/>
        <w:rPr>
          <w:rFonts w:cs="Tahoma" w:ascii="Tahoma" w:hAnsi="Tahoma"/>
          <w:sz w:val="20"/>
          <w:szCs w:val="20"/>
        </w:rPr>
      </w:pPr>
      <w:r>
        <w:rPr>
          <w:rFonts w:cs="Tahoma" w:ascii="Tahoma" w:hAnsi="Tahoma"/>
          <w:sz w:val="20"/>
          <w:szCs w:val="20"/>
        </w:rPr>
        <w:t>Ciò premesso, il sottoscritto</w:t>
      </w:r>
    </w:p>
    <w:p>
      <w:pPr>
        <w:pStyle w:val="Normal"/>
        <w:tabs>
          <w:tab w:val="left" w:pos="0" w:leader="none"/>
        </w:tabs>
        <w:spacing w:lineRule="auto" w:line="240"/>
        <w:ind w:left="0" w:right="-2" w:hanging="0"/>
        <w:rPr>
          <w:rFonts w:cs="Tahoma" w:ascii="Tahoma" w:hAnsi="Tahoma"/>
          <w:b/>
          <w:smallCaps/>
          <w:sz w:val="20"/>
          <w:szCs w:val="20"/>
        </w:rPr>
      </w:pPr>
      <w:r>
        <w:rPr>
          <w:rFonts w:cs="Tahoma" w:ascii="Tahoma" w:hAnsi="Tahoma"/>
          <w:b/>
          <w:smallCaps/>
          <w:sz w:val="20"/>
          <w:szCs w:val="20"/>
        </w:rPr>
        <w:tab/>
        <w:tab/>
        <w:tab/>
        <w:tab/>
        <w:tab/>
        <w:t>propone formale reclamo</w:t>
      </w:r>
    </w:p>
    <w:p>
      <w:pPr>
        <w:sectPr>
          <w:footerReference w:type="default" r:id="rId2"/>
          <w:footerReference w:type="first" r:id="rId3"/>
          <w:type w:val="nextPage"/>
          <w:pgSz w:w="11906" w:h="16838"/>
          <w:pgMar w:left="1134" w:right="1134" w:header="0" w:top="1134" w:footer="261" w:bottom="1134" w:gutter="0"/>
          <w:pgNumType w:start="1" w:fmt="decimal"/>
          <w:formProt w:val="false"/>
          <w:titlePg/>
          <w:textDirection w:val="lrTb"/>
          <w:docGrid w:type="default" w:linePitch="360" w:charSpace="2047"/>
        </w:sectPr>
        <w:pStyle w:val="Normal"/>
        <w:tabs>
          <w:tab w:val="left" w:pos="0" w:leader="none"/>
        </w:tabs>
        <w:spacing w:lineRule="auto" w:line="240"/>
        <w:ind w:left="0" w:right="-2" w:hanging="0"/>
        <w:rPr>
          <w:rFonts w:cs="Tahoma" w:ascii="Tahoma" w:hAnsi="Tahoma"/>
          <w:b/>
          <w:smallCaps/>
          <w:sz w:val="20"/>
          <w:szCs w:val="20"/>
        </w:rPr>
      </w:pPr>
      <w:r>
        <w:rPr>
          <w:rFonts w:cs="Tahoma" w:ascii="Tahoma" w:hAnsi="Tahoma"/>
          <w:b/>
          <w:smallCaps/>
          <w:sz w:val="20"/>
          <w:szCs w:val="20"/>
        </w:rPr>
      </w:r>
    </w:p>
    <w:p>
      <w:pPr>
        <w:pStyle w:val="Normal"/>
        <w:tabs>
          <w:tab w:val="left" w:pos="0" w:leader="none"/>
        </w:tabs>
        <w:spacing w:lineRule="auto" w:line="240"/>
        <w:ind w:left="0" w:right="-2" w:hanging="0"/>
        <w:rPr>
          <w:rFonts w:cs="Tahoma" w:ascii="Tahoma" w:hAnsi="Tahoma"/>
          <w:sz w:val="20"/>
          <w:szCs w:val="20"/>
        </w:rPr>
      </w:pPr>
      <w:r>
        <w:rPr>
          <w:rFonts w:cs="Tahoma" w:ascii="Tahoma" w:hAnsi="Tahoma"/>
          <w:sz w:val="20"/>
          <w:szCs w:val="20"/>
        </w:rPr>
        <w:t xml:space="preserve">in merito alla vendita di cui sopra e, per l’effetto, </w:t>
      </w:r>
      <w:r>
        <w:rPr>
          <w:rFonts w:cs="Tahoma" w:ascii="Tahoma" w:hAnsi="Tahoma"/>
          <w:b/>
          <w:sz w:val="20"/>
          <w:szCs w:val="20"/>
        </w:rPr>
        <w:t>invita e diffida</w:t>
      </w:r>
      <w:r>
        <w:rPr>
          <w:rFonts w:cs="Tahoma" w:ascii="Tahoma" w:hAnsi="Tahoma"/>
          <w:sz w:val="20"/>
          <w:szCs w:val="20"/>
        </w:rPr>
        <w:t xml:space="preserve"> la Banca Popolare dell'Alto Adige all’immediata restituzione delle somme investite, oltre interessi e rivalutazione dal dì della vendita, dichiarandosi al contempo disposto a restituire le azioni alla stessa Banca in epigrafe.</w:t>
      </w:r>
    </w:p>
    <w:p>
      <w:pPr>
        <w:pStyle w:val="Normal"/>
        <w:tabs>
          <w:tab w:val="left" w:pos="0" w:leader="none"/>
        </w:tabs>
        <w:spacing w:lineRule="auto" w:line="240"/>
        <w:ind w:left="0" w:right="-2" w:hanging="0"/>
        <w:rPr>
          <w:rFonts w:cs="Tahoma" w:ascii="Tahoma" w:hAnsi="Tahoma"/>
          <w:sz w:val="20"/>
          <w:szCs w:val="20"/>
        </w:rPr>
      </w:pPr>
      <w:r>
        <w:rPr>
          <w:rFonts w:cs="Tahoma" w:ascii="Tahoma" w:hAnsi="Tahoma"/>
          <w:sz w:val="20"/>
          <w:szCs w:val="20"/>
        </w:rPr>
      </w:r>
    </w:p>
    <w:p>
      <w:pPr>
        <w:pStyle w:val="Normal"/>
        <w:tabs>
          <w:tab w:val="left" w:pos="0" w:leader="none"/>
        </w:tabs>
        <w:spacing w:lineRule="auto" w:line="240"/>
        <w:ind w:left="0" w:right="-2" w:hanging="0"/>
        <w:rPr>
          <w:rFonts w:cs="Tahoma" w:ascii="Tahoma" w:hAnsi="Tahoma"/>
          <w:sz w:val="20"/>
          <w:szCs w:val="20"/>
        </w:rPr>
      </w:pPr>
      <w:r>
        <w:rPr>
          <w:rFonts w:cs="Tahoma" w:ascii="Tahoma" w:hAnsi="Tahoma"/>
          <w:sz w:val="20"/>
          <w:szCs w:val="20"/>
        </w:rPr>
        <w:t>Inoltre, lo scrivente</w:t>
      </w:r>
    </w:p>
    <w:p>
      <w:pPr>
        <w:pStyle w:val="Normal"/>
        <w:tabs>
          <w:tab w:val="left" w:pos="0" w:leader="none"/>
        </w:tabs>
        <w:spacing w:lineRule="auto" w:line="240"/>
        <w:ind w:left="0" w:right="-2" w:hanging="0"/>
        <w:rPr>
          <w:rFonts w:cs="Tahoma" w:ascii="Tahoma" w:hAnsi="Tahoma"/>
          <w:sz w:val="20"/>
          <w:szCs w:val="20"/>
        </w:rPr>
      </w:pPr>
      <w:r>
        <w:rPr>
          <w:rFonts w:cs="Tahoma" w:ascii="Tahoma" w:hAnsi="Tahoma"/>
          <w:sz w:val="20"/>
          <w:szCs w:val="20"/>
        </w:rPr>
      </w:r>
    </w:p>
    <w:p>
      <w:pPr>
        <w:pStyle w:val="Normal"/>
        <w:tabs>
          <w:tab w:val="left" w:pos="0" w:leader="none"/>
        </w:tabs>
        <w:spacing w:lineRule="auto" w:line="240"/>
        <w:ind w:left="0" w:right="-2" w:hanging="0"/>
        <w:rPr>
          <w:rFonts w:cs="Tahoma" w:ascii="Tahoma" w:hAnsi="Tahoma"/>
          <w:sz w:val="20"/>
          <w:szCs w:val="20"/>
        </w:rPr>
      </w:pPr>
      <w:r>
        <w:rPr>
          <w:rFonts w:eastAsia="Times New Roman" w:cs="Times New Roman" w:ascii="Times New Roman" w:hAnsi="Times New Roman"/>
          <w:sz w:val="32"/>
          <w:szCs w:val="32"/>
          <w:lang w:val="de-DE" w:eastAsia="zh-CN" w:bidi="ar-SA"/>
        </w:rPr>
        <w:t>□</w:t>
      </w:r>
      <w:r>
        <w:rPr>
          <w:rFonts w:eastAsia="Times New Roman" w:cs="Garamond" w:ascii="Tahoma" w:hAnsi="Tahoma"/>
          <w:sz w:val="32"/>
          <w:szCs w:val="32"/>
          <w:lang w:val="de-DE" w:eastAsia="zh-CN" w:bidi="ar-SA"/>
        </w:rPr>
        <w:t xml:space="preserve"> </w:t>
      </w:r>
      <w:r>
        <w:rPr>
          <w:rFonts w:eastAsia="Times New Roman" w:cs="Garamond" w:ascii="Tahoma" w:hAnsi="Tahoma"/>
          <w:b/>
          <w:bCs/>
          <w:sz w:val="20"/>
          <w:szCs w:val="20"/>
          <w:lang w:val="de-DE" w:eastAsia="zh-CN" w:bidi="ar-SA"/>
        </w:rPr>
        <w:t>richiede</w:t>
      </w:r>
      <w:r>
        <w:rPr>
          <w:rFonts w:eastAsia="Times New Roman" w:cs="Garamond" w:ascii="Tahoma" w:hAnsi="Tahoma"/>
          <w:sz w:val="20"/>
          <w:szCs w:val="20"/>
          <w:lang w:val="de-DE" w:eastAsia="zh-CN" w:bidi="ar-SA"/>
        </w:rPr>
        <w:t xml:space="preserve">, </w:t>
      </w:r>
      <w:r>
        <w:rPr>
          <w:rFonts w:cs="Tahoma" w:ascii="Tahoma" w:hAnsi="Tahoma"/>
          <w:sz w:val="20"/>
          <w:szCs w:val="20"/>
        </w:rPr>
        <w:t xml:space="preserve">ai sensi dell’art. 7 D. Lgs. n. 196/2003, dell’art. 21 T.U.F., D. Lgs. n. 58/1998, dell’art. 119 T.U.B., D. Lgs. n. 385/1993, nonché del Provv. Garante Privacy, Newsletter del 12/5/2003, </w:t>
      </w:r>
      <w:bookmarkStart w:id="0" w:name="__DdeLink__2705_1420615040"/>
      <w:r>
        <w:rPr>
          <w:rFonts w:cs="Tahoma" w:ascii="Tahoma" w:hAnsi="Tahoma"/>
          <w:sz w:val="20"/>
          <w:szCs w:val="20"/>
        </w:rPr>
        <w:t>alla Banca Popolare dell'Alto Adige di produrre e consegnare copia della seguente documentazione,</w:t>
      </w:r>
      <w:bookmarkEnd w:id="0"/>
      <w:r>
        <w:rPr>
          <w:rFonts w:cs="Tahoma" w:ascii="Tahoma" w:hAnsi="Tahoma"/>
          <w:sz w:val="20"/>
          <w:szCs w:val="20"/>
        </w:rPr>
        <w:t xml:space="preserve"> antecedente o coeva al collocamento o alla negoziazione di azioni in questione:</w:t>
      </w:r>
    </w:p>
    <w:p>
      <w:pPr>
        <w:pStyle w:val="Normal"/>
        <w:numPr>
          <w:ilvl w:val="0"/>
          <w:numId w:val="1"/>
        </w:numPr>
        <w:tabs>
          <w:tab w:val="left" w:pos="0" w:leader="none"/>
        </w:tabs>
        <w:spacing w:lineRule="auto" w:line="240"/>
        <w:rPr>
          <w:rFonts w:cs="Tahoma" w:ascii="Tahoma" w:hAnsi="Tahoma"/>
          <w:sz w:val="20"/>
          <w:szCs w:val="20"/>
        </w:rPr>
      </w:pPr>
      <w:r>
        <w:rPr>
          <w:rFonts w:cs="Tahoma" w:ascii="Tahoma" w:hAnsi="Tahoma"/>
          <w:sz w:val="20"/>
          <w:szCs w:val="20"/>
        </w:rPr>
        <w:t>contratti “quadro” di negoziazione titoli, ricezione e trasmissione ordine con allegati;</w:t>
      </w:r>
    </w:p>
    <w:p>
      <w:pPr>
        <w:pStyle w:val="Normal"/>
        <w:numPr>
          <w:ilvl w:val="0"/>
          <w:numId w:val="1"/>
        </w:numPr>
        <w:tabs>
          <w:tab w:val="left" w:pos="0" w:leader="none"/>
        </w:tabs>
        <w:spacing w:lineRule="auto" w:line="240"/>
        <w:rPr>
          <w:rFonts w:cs="Tahoma" w:ascii="Tahoma" w:hAnsi="Tahoma"/>
          <w:sz w:val="20"/>
          <w:szCs w:val="20"/>
        </w:rPr>
      </w:pPr>
      <w:r>
        <w:rPr>
          <w:rFonts w:cs="Tahoma" w:ascii="Tahoma" w:hAnsi="Tahoma"/>
          <w:sz w:val="20"/>
          <w:szCs w:val="20"/>
        </w:rPr>
        <w:t>contratto di consulenza previsto dalla disciplina MiFID;</w:t>
      </w:r>
    </w:p>
    <w:p>
      <w:pPr>
        <w:pStyle w:val="Normal"/>
        <w:numPr>
          <w:ilvl w:val="0"/>
          <w:numId w:val="1"/>
        </w:numPr>
        <w:tabs>
          <w:tab w:val="left" w:pos="0" w:leader="none"/>
        </w:tabs>
        <w:spacing w:lineRule="auto" w:line="240"/>
        <w:rPr>
          <w:rFonts w:cs="Tahoma" w:ascii="Tahoma" w:hAnsi="Tahoma"/>
          <w:sz w:val="20"/>
          <w:szCs w:val="20"/>
        </w:rPr>
      </w:pPr>
      <w:r>
        <w:rPr>
          <w:rFonts w:cs="Tahoma" w:ascii="Tahoma" w:hAnsi="Tahoma"/>
          <w:sz w:val="20"/>
          <w:szCs w:val="20"/>
        </w:rPr>
        <w:t>documento di rilevazione delle informazioni finanziarie del sottoscritto, l’attribuzione del profilo di rischio e/o la classificazione di rischio, sia antecedente che successiva all’entrata in vigore della disciplina MiFid;</w:t>
      </w:r>
    </w:p>
    <w:p>
      <w:pPr>
        <w:pStyle w:val="Normal"/>
        <w:numPr>
          <w:ilvl w:val="0"/>
          <w:numId w:val="1"/>
        </w:numPr>
        <w:tabs>
          <w:tab w:val="left" w:pos="0" w:leader="none"/>
        </w:tabs>
        <w:spacing w:lineRule="auto" w:line="240"/>
        <w:rPr>
          <w:rFonts w:cs="Tahoma" w:ascii="Tahoma" w:hAnsi="Tahoma"/>
          <w:sz w:val="20"/>
          <w:szCs w:val="20"/>
        </w:rPr>
      </w:pPr>
      <w:r>
        <w:rPr>
          <w:rFonts w:cs="Tahoma" w:ascii="Tahoma" w:hAnsi="Tahoma"/>
          <w:sz w:val="20"/>
          <w:szCs w:val="20"/>
        </w:rPr>
        <w:t>ricevuta attestante la consegna del documento sui rischi generali degli investimenti finanziari;</w:t>
      </w:r>
    </w:p>
    <w:p>
      <w:pPr>
        <w:pStyle w:val="Normal"/>
        <w:numPr>
          <w:ilvl w:val="0"/>
          <w:numId w:val="1"/>
        </w:numPr>
        <w:tabs>
          <w:tab w:val="left" w:pos="0" w:leader="none"/>
        </w:tabs>
        <w:spacing w:lineRule="auto" w:line="240"/>
        <w:rPr>
          <w:rFonts w:cs="Tahoma" w:ascii="Tahoma" w:hAnsi="Tahoma"/>
          <w:sz w:val="20"/>
          <w:szCs w:val="20"/>
        </w:rPr>
      </w:pPr>
      <w:r>
        <w:rPr>
          <w:rFonts w:cs="Tahoma" w:ascii="Tahoma" w:hAnsi="Tahoma"/>
          <w:sz w:val="20"/>
          <w:szCs w:val="20"/>
        </w:rPr>
        <w:t>ricevuta attestante la consegna del documento informativo sui servizi finanziari previsto dalla disciplina MiFid;</w:t>
      </w:r>
    </w:p>
    <w:p>
      <w:pPr>
        <w:pStyle w:val="Normal"/>
        <w:numPr>
          <w:ilvl w:val="0"/>
          <w:numId w:val="1"/>
        </w:numPr>
        <w:tabs>
          <w:tab w:val="left" w:pos="0" w:leader="none"/>
        </w:tabs>
        <w:spacing w:lineRule="auto" w:line="240"/>
        <w:rPr>
          <w:rFonts w:cs="Tahoma" w:ascii="Tahoma" w:hAnsi="Tahoma"/>
          <w:sz w:val="20"/>
          <w:szCs w:val="20"/>
        </w:rPr>
      </w:pPr>
      <w:r>
        <w:rPr>
          <w:rFonts w:cs="Tahoma" w:ascii="Tahoma" w:hAnsi="Tahoma"/>
          <w:sz w:val="20"/>
          <w:szCs w:val="20"/>
        </w:rPr>
        <w:t>ordine, scheda di adesione e fissato bollato relativi a ciascun acquisto delle azioni emesse dalla Banca Popolare dell'Alto Adige;</w:t>
      </w:r>
    </w:p>
    <w:p>
      <w:pPr>
        <w:pStyle w:val="Normal"/>
        <w:numPr>
          <w:ilvl w:val="0"/>
          <w:numId w:val="1"/>
        </w:numPr>
        <w:tabs>
          <w:tab w:val="left" w:pos="0" w:leader="none"/>
        </w:tabs>
        <w:spacing w:lineRule="auto" w:line="240"/>
        <w:rPr>
          <w:rFonts w:cs="Tahoma" w:ascii="Tahoma" w:hAnsi="Tahoma"/>
          <w:sz w:val="20"/>
          <w:szCs w:val="20"/>
        </w:rPr>
      </w:pPr>
      <w:r>
        <w:rPr>
          <w:rFonts w:cs="Tahoma" w:ascii="Tahoma" w:hAnsi="Tahoma"/>
          <w:sz w:val="20"/>
          <w:szCs w:val="20"/>
        </w:rPr>
        <w:t>ricevuta attestante la consegna del prospetto informativo e della nota esplicativa;</w:t>
      </w:r>
    </w:p>
    <w:p>
      <w:pPr>
        <w:pStyle w:val="Normal"/>
        <w:numPr>
          <w:ilvl w:val="0"/>
          <w:numId w:val="1"/>
        </w:numPr>
        <w:tabs>
          <w:tab w:val="left" w:pos="0" w:leader="none"/>
        </w:tabs>
        <w:spacing w:lineRule="auto" w:line="240"/>
        <w:rPr>
          <w:rFonts w:cs="Tahoma" w:ascii="Tahoma" w:hAnsi="Tahoma"/>
          <w:sz w:val="20"/>
          <w:szCs w:val="20"/>
        </w:rPr>
      </w:pPr>
      <w:r>
        <w:rPr>
          <w:rFonts w:cs="Tahoma" w:ascii="Tahoma" w:hAnsi="Tahoma"/>
          <w:sz w:val="20"/>
          <w:szCs w:val="20"/>
        </w:rPr>
        <w:t>estratti conto del deposito titoli relativi ai 12 mesi antecedenti ciascun acquisto in oggetto;</w:t>
      </w:r>
    </w:p>
    <w:p>
      <w:pPr>
        <w:pStyle w:val="Normal"/>
        <w:numPr>
          <w:ilvl w:val="0"/>
          <w:numId w:val="1"/>
        </w:numPr>
        <w:tabs>
          <w:tab w:val="left" w:pos="0" w:leader="none"/>
        </w:tabs>
        <w:spacing w:lineRule="auto" w:line="240"/>
        <w:rPr>
          <w:rFonts w:cs="Tahoma" w:ascii="Tahoma" w:hAnsi="Tahoma"/>
          <w:sz w:val="20"/>
          <w:szCs w:val="20"/>
        </w:rPr>
      </w:pPr>
      <w:r>
        <w:rPr>
          <w:rFonts w:cs="Tahoma" w:ascii="Tahoma" w:hAnsi="Tahoma"/>
          <w:sz w:val="20"/>
          <w:szCs w:val="20"/>
        </w:rPr>
        <w:t xml:space="preserve">note informative periodiche sull’andamento del titolo, che lo scrivente non ha mai ricevuto, con indicazione del </w:t>
      </w:r>
      <w:r>
        <w:rPr>
          <w:rFonts w:cs="Tahoma" w:ascii="Tahoma" w:hAnsi="Tahoma"/>
          <w:i/>
          <w:sz w:val="20"/>
          <w:szCs w:val="20"/>
        </w:rPr>
        <w:t>fair value</w:t>
      </w:r>
      <w:r>
        <w:rPr>
          <w:rFonts w:cs="Tahoma" w:ascii="Tahoma" w:hAnsi="Tahoma"/>
          <w:sz w:val="20"/>
          <w:szCs w:val="20"/>
        </w:rPr>
        <w:t xml:space="preserve"> e del </w:t>
      </w:r>
      <w:r>
        <w:rPr>
          <w:rFonts w:cs="Tahoma" w:ascii="Tahoma" w:hAnsi="Tahoma"/>
          <w:i/>
          <w:sz w:val="20"/>
          <w:szCs w:val="20"/>
        </w:rPr>
        <w:t>valore di smobilizzo</w:t>
      </w:r>
      <w:r>
        <w:rPr>
          <w:rFonts w:cs="Tahoma" w:ascii="Tahoma" w:hAnsi="Tahoma"/>
          <w:sz w:val="20"/>
          <w:szCs w:val="20"/>
        </w:rPr>
        <w:t xml:space="preserve"> delle azioni emesse dalla Banca a far data da ciascun collocamento o negoziazione in questione sino ad oggi;</w:t>
      </w:r>
    </w:p>
    <w:p>
      <w:pPr>
        <w:pStyle w:val="Normal"/>
        <w:numPr>
          <w:ilvl w:val="0"/>
          <w:numId w:val="1"/>
        </w:numPr>
        <w:tabs>
          <w:tab w:val="left" w:pos="0" w:leader="none"/>
        </w:tabs>
        <w:spacing w:lineRule="auto" w:line="240"/>
        <w:rPr>
          <w:rFonts w:cs="Tahoma" w:ascii="Tahoma" w:hAnsi="Tahoma"/>
          <w:sz w:val="20"/>
          <w:szCs w:val="20"/>
        </w:rPr>
      </w:pPr>
      <w:r>
        <w:rPr>
          <w:rFonts w:cs="Tahoma" w:ascii="Tahoma" w:hAnsi="Tahoma"/>
          <w:sz w:val="20"/>
          <w:szCs w:val="20"/>
        </w:rPr>
        <w:t>quotazione delle azioni emesse dalla Banca dalla data di ciascun acquisto sino ad oggi.</w:t>
      </w:r>
    </w:p>
    <w:p>
      <w:pPr>
        <w:pStyle w:val="Normal"/>
        <w:tabs>
          <w:tab w:val="left" w:pos="0" w:leader="none"/>
        </w:tabs>
        <w:spacing w:lineRule="auto" w:line="240"/>
        <w:ind w:left="0" w:right="-2" w:hanging="0"/>
        <w:rPr>
          <w:rFonts w:cs="Tahoma" w:ascii="Tahoma" w:hAnsi="Tahoma"/>
          <w:sz w:val="20"/>
          <w:szCs w:val="20"/>
        </w:rPr>
      </w:pPr>
      <w:r>
        <w:rPr>
          <w:rFonts w:cs="Tahoma" w:ascii="Tahoma" w:hAnsi="Tahoma"/>
          <w:sz w:val="20"/>
          <w:szCs w:val="20"/>
        </w:rPr>
      </w:r>
    </w:p>
    <w:p>
      <w:pPr>
        <w:pStyle w:val="Normal"/>
        <w:tabs>
          <w:tab w:val="left" w:pos="0" w:leader="none"/>
        </w:tabs>
        <w:spacing w:lineRule="auto" w:line="240"/>
        <w:ind w:left="0" w:right="-2" w:hanging="0"/>
        <w:rPr>
          <w:rFonts w:eastAsia="Times New Roman" w:cs="Tahoma" w:ascii="Tahoma" w:hAnsi="Tahoma"/>
          <w:sz w:val="20"/>
          <w:szCs w:val="20"/>
          <w:lang w:val="de-DE" w:eastAsia="zh-CN" w:bidi="ar-SA"/>
        </w:rPr>
      </w:pPr>
      <w:r>
        <w:rPr>
          <w:rFonts w:eastAsia="Times New Roman" w:cs="Times New Roman" w:ascii="Times New Roman" w:hAnsi="Times New Roman"/>
          <w:sz w:val="32"/>
          <w:szCs w:val="32"/>
          <w:lang w:val="de-DE" w:eastAsia="zh-CN" w:bidi="ar-SA"/>
        </w:rPr>
        <w:t>□</w:t>
      </w:r>
      <w:r>
        <w:rPr>
          <w:rFonts w:eastAsia="Times New Roman" w:cs="Garamond" w:ascii="Tahoma" w:hAnsi="Tahoma"/>
          <w:sz w:val="32"/>
          <w:szCs w:val="32"/>
          <w:lang w:val="de-DE" w:eastAsia="zh-CN" w:bidi="ar-SA"/>
        </w:rPr>
        <w:t xml:space="preserve"> </w:t>
      </w:r>
      <w:r>
        <w:rPr>
          <w:rFonts w:eastAsia="Times New Roman" w:cs="Garamond" w:ascii="Tahoma" w:hAnsi="Tahoma"/>
          <w:b/>
          <w:bCs/>
          <w:sz w:val="20"/>
          <w:szCs w:val="20"/>
          <w:lang w:val="de-DE" w:eastAsia="zh-CN" w:bidi="ar-SA"/>
        </w:rPr>
        <w:t xml:space="preserve">non richiede </w:t>
      </w:r>
      <w:r>
        <w:rPr>
          <w:rFonts w:eastAsia="Times New Roman" w:cs="Tahoma" w:ascii="Tahoma" w:hAnsi="Tahoma"/>
          <w:sz w:val="20"/>
          <w:szCs w:val="20"/>
          <w:lang w:val="de-DE" w:eastAsia="zh-CN" w:bidi="ar-SA"/>
        </w:rPr>
        <w:t>alla Banca Popolare dell'Alto Adige di produrre e consegnare copia della seguente documentazione, in quanto ne è già in possesso.</w:t>
      </w:r>
    </w:p>
    <w:p>
      <w:pPr>
        <w:pStyle w:val="Normal"/>
        <w:tabs>
          <w:tab w:val="left" w:pos="0" w:leader="none"/>
        </w:tabs>
        <w:spacing w:lineRule="auto" w:line="240"/>
        <w:ind w:left="0" w:right="-2" w:hanging="0"/>
        <w:rPr>
          <w:rFonts w:cs="Tahoma" w:ascii="Tahoma" w:hAnsi="Tahoma"/>
          <w:sz w:val="20"/>
          <w:szCs w:val="20"/>
        </w:rPr>
      </w:pPr>
      <w:r>
        <w:rPr>
          <w:rFonts w:cs="Tahoma" w:ascii="Tahoma" w:hAnsi="Tahoma"/>
          <w:sz w:val="20"/>
          <w:szCs w:val="20"/>
        </w:rPr>
      </w:r>
    </w:p>
    <w:p>
      <w:pPr>
        <w:pStyle w:val="Normal"/>
        <w:tabs>
          <w:tab w:val="left" w:pos="0" w:leader="none"/>
        </w:tabs>
        <w:spacing w:lineRule="auto" w:line="240"/>
        <w:ind w:left="0" w:right="-2" w:hanging="0"/>
        <w:rPr>
          <w:rFonts w:cs="Tahoma" w:ascii="Tahoma" w:hAnsi="Tahoma"/>
          <w:sz w:val="20"/>
          <w:szCs w:val="20"/>
        </w:rPr>
      </w:pPr>
      <w:r>
        <w:rPr>
          <w:rFonts w:cs="Tahoma" w:ascii="Tahoma" w:hAnsi="Tahoma"/>
          <w:sz w:val="20"/>
          <w:szCs w:val="20"/>
        </w:rPr>
      </w:r>
    </w:p>
    <w:p>
      <w:pPr>
        <w:pStyle w:val="Normal"/>
        <w:tabs>
          <w:tab w:val="left" w:pos="0" w:leader="none"/>
        </w:tabs>
        <w:spacing w:lineRule="auto" w:line="240"/>
        <w:ind w:left="0" w:right="-2" w:hanging="0"/>
        <w:rPr>
          <w:rFonts w:cs="Tahoma" w:ascii="Tahoma" w:hAnsi="Tahoma"/>
          <w:sz w:val="20"/>
          <w:szCs w:val="20"/>
        </w:rPr>
      </w:pPr>
      <w:r>
        <w:rPr>
          <w:rFonts w:cs="Tahoma" w:ascii="Tahoma" w:hAnsi="Tahoma"/>
          <w:sz w:val="20"/>
          <w:szCs w:val="20"/>
        </w:rPr>
        <w:t>In attesa di riscontro al presente reclamo e dell’invio dei documenti richiesti, il sottoscritto si riserva di adire le vie legali per tutelare e difendere al meglio i propri diritti ed interessi, nessuno escluso.</w:t>
      </w:r>
    </w:p>
    <w:p>
      <w:pPr>
        <w:pStyle w:val="Normal"/>
        <w:tabs>
          <w:tab w:val="left" w:pos="0" w:leader="none"/>
        </w:tabs>
        <w:spacing w:lineRule="auto" w:line="240"/>
        <w:ind w:left="0" w:right="-2" w:hanging="0"/>
        <w:rPr>
          <w:rFonts w:cs="Tahoma" w:ascii="Tahoma" w:hAnsi="Tahoma"/>
          <w:sz w:val="20"/>
          <w:szCs w:val="20"/>
        </w:rPr>
      </w:pPr>
      <w:r>
        <w:rPr>
          <w:rFonts w:cs="Tahoma" w:ascii="Tahoma" w:hAnsi="Tahoma"/>
          <w:sz w:val="20"/>
          <w:szCs w:val="20"/>
        </w:rPr>
        <w:t>Il presente reclamo è da intendersi, ad ogni più ampio effetto di legge, quale valida ed efficace messa in mora ed interruzione di qualsivoglia prescrizione, con esplicito, ma non esaustivo, riferimento alle azioni di nullità, annullamento, risoluzione e risarcimento danni, ad ogni titolo riferibili alla vendita in questione, nonché con riferimento al termine di conservazione decennale della documentazione contrattuale.</w:t>
      </w:r>
    </w:p>
    <w:p>
      <w:pPr>
        <w:pStyle w:val="Normal"/>
        <w:tabs>
          <w:tab w:val="left" w:pos="0" w:leader="none"/>
        </w:tabs>
        <w:spacing w:lineRule="auto" w:line="240"/>
        <w:ind w:left="0" w:right="-2" w:hanging="0"/>
        <w:rPr>
          <w:rFonts w:cs="Tahoma" w:ascii="Tahoma" w:hAnsi="Tahoma"/>
          <w:sz w:val="20"/>
          <w:szCs w:val="20"/>
        </w:rPr>
      </w:pPr>
      <w:r>
        <w:rPr>
          <w:rFonts w:cs="Tahoma" w:ascii="Tahoma" w:hAnsi="Tahoma"/>
          <w:sz w:val="20"/>
          <w:szCs w:val="20"/>
        </w:rPr>
      </w:r>
    </w:p>
    <w:p>
      <w:pPr>
        <w:pStyle w:val="Normal"/>
        <w:tabs>
          <w:tab w:val="left" w:pos="0" w:leader="none"/>
        </w:tabs>
        <w:spacing w:lineRule="auto" w:line="240"/>
        <w:ind w:left="0" w:right="-2" w:hanging="0"/>
        <w:rPr>
          <w:rFonts w:cs="Tahoma" w:ascii="Tahoma" w:hAnsi="Tahoma"/>
          <w:sz w:val="20"/>
          <w:szCs w:val="20"/>
        </w:rPr>
      </w:pPr>
      <w:r>
        <w:rPr>
          <w:rFonts w:cs="Tahoma" w:ascii="Tahoma" w:hAnsi="Tahoma"/>
          <w:sz w:val="20"/>
          <w:szCs w:val="20"/>
        </w:rPr>
        <w:t>Cordiali saluti</w:t>
      </w:r>
    </w:p>
    <w:p>
      <w:pPr>
        <w:pStyle w:val="Normal"/>
        <w:tabs>
          <w:tab w:val="left" w:pos="0" w:leader="none"/>
        </w:tabs>
        <w:spacing w:lineRule="auto" w:line="240"/>
        <w:ind w:left="0" w:right="-2" w:hanging="0"/>
        <w:rPr>
          <w:rFonts w:ascii="Tahoma" w:hAnsi="Tahoma"/>
          <w:sz w:val="20"/>
          <w:szCs w:val="20"/>
        </w:rPr>
      </w:pPr>
      <w:r>
        <w:rPr>
          <w:rFonts w:ascii="Tahoma" w:hAnsi="Tahoma"/>
          <w:sz w:val="20"/>
          <w:szCs w:val="20"/>
        </w:rPr>
      </w:r>
    </w:p>
    <w:p>
      <w:pPr>
        <w:pStyle w:val="Normal"/>
        <w:tabs>
          <w:tab w:val="left" w:pos="0" w:leader="none"/>
        </w:tabs>
        <w:spacing w:lineRule="auto" w:line="240"/>
        <w:ind w:left="0" w:right="-2" w:hanging="0"/>
        <w:rPr>
          <w:rFonts w:ascii="Tahoma" w:hAnsi="Tahoma"/>
          <w:sz w:val="20"/>
          <w:szCs w:val="20"/>
        </w:rPr>
      </w:pPr>
      <w:r>
        <w:rPr>
          <w:rFonts w:ascii="Tahoma" w:hAnsi="Tahoma"/>
          <w:sz w:val="20"/>
          <w:szCs w:val="20"/>
        </w:rPr>
      </w:r>
    </w:p>
    <w:p>
      <w:pPr>
        <w:pStyle w:val="Normal"/>
        <w:tabs>
          <w:tab w:val="left" w:pos="0" w:leader="none"/>
        </w:tabs>
        <w:spacing w:lineRule="auto" w:line="240"/>
        <w:ind w:left="0" w:right="-2" w:hanging="0"/>
        <w:rPr>
          <w:rFonts w:cs="Tahoma" w:ascii="Tahoma" w:hAnsi="Tahoma"/>
          <w:b w:val="false"/>
          <w:bCs w:val="false"/>
          <w:i/>
          <w:sz w:val="20"/>
          <w:szCs w:val="20"/>
        </w:rPr>
      </w:pPr>
      <w:r>
        <w:rPr>
          <w:rFonts w:cs="Tahoma" w:ascii="Tahoma" w:hAnsi="Tahoma"/>
          <w:b w:val="false"/>
          <w:bCs w:val="false"/>
          <w:sz w:val="20"/>
          <w:szCs w:val="20"/>
        </w:rPr>
        <w:t>_____________________________</w:t>
      </w:r>
      <w:r>
        <w:rPr>
          <w:rFonts w:eastAsia="Garamond" w:cs="Tahoma" w:ascii="Tahoma" w:hAnsi="Tahoma"/>
          <w:b w:val="false"/>
          <w:bCs w:val="false"/>
          <w:i/>
          <w:sz w:val="20"/>
          <w:szCs w:val="20"/>
        </w:rPr>
        <w:t xml:space="preserve">                                                                                                           </w:t>
      </w:r>
      <w:r>
        <w:rPr>
          <w:rFonts w:cs="Tahoma" w:ascii="Tahoma" w:hAnsi="Tahoma"/>
          <w:b w:val="false"/>
          <w:bCs w:val="false"/>
          <w:i/>
          <w:sz w:val="20"/>
          <w:szCs w:val="20"/>
        </w:rPr>
        <w:t>(firma)</w:t>
      </w:r>
    </w:p>
    <w:sectPr>
      <w:footerReference w:type="default" r:id="rId4"/>
      <w:footerReference w:type="first" r:id="rId5"/>
      <w:type w:val="nextPage"/>
      <w:pgSz w:w="11906" w:h="16838"/>
      <w:pgMar w:left="1134" w:right="1134" w:header="0" w:top="1134" w:footer="261" w:bottom="1134"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Droid Sans">
    <w:charset w:val="01"/>
    <w:family w:val="swiss"/>
    <w:pitch w:val="default"/>
  </w:font>
  <w:font w:name="Garamond">
    <w:charset w:val="01"/>
    <w:family w:val="swiss"/>
    <w:pitch w:val="default"/>
  </w:font>
  <w:font w:name="Bookman Old Style">
    <w:charset w:val="01"/>
    <w:family w:val="swiss"/>
    <w:pitch w:val="default"/>
  </w:font>
  <w:font w:name="Wingdings">
    <w:charset w:val="01"/>
    <w:family w:val="swiss"/>
    <w:pitch w:val="default"/>
  </w:font>
  <w:font w:name="Tahoma">
    <w:charset w:val="01"/>
    <w:family w:val="swiss"/>
    <w:pitch w:val="default"/>
  </w:font>
  <w:font w:name="Symbol">
    <w:charset w:val="01"/>
    <w:family w:val="swiss"/>
    <w:pitch w:val="default"/>
  </w:font>
  <w:font w:name="Times New Roman">
    <w:charset w:val="01"/>
    <w:family w:val="swiss"/>
    <w:pitch w:val="default"/>
  </w:font>
  <w:font w:name="Courier New">
    <w:charset w:val="01"/>
    <w:family w:val="swiss"/>
    <w:pitch w:val="default"/>
  </w:font>
  <w:font w:name="Liberation Sans">
    <w:altName w:val="Arial"/>
    <w:charset w:val="01"/>
    <w:family w:val="swiss"/>
    <w:pitch w:val="default"/>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uzeile"/>
      <w:jc w:val="center"/>
      <w:rPr/>
    </w:pPr>
    <w:r>
      <w:rPr/>
      <w:fldChar w:fldCharType="begin"/>
    </w:r>
    <w:r>
      <w:instrText> PAGE </w:instrText>
    </w:r>
    <w:r>
      <w:fldChar w:fldCharType="separate"/>
    </w:r>
    <w:r>
      <w:t>3</w:t>
    </w:r>
    <w:r>
      <w:fldChar w:fldCharType="end"/>
    </w:r>
  </w:p>
  <w:p>
    <w:pPr>
      <w:pStyle w:val="Normal"/>
      <w:ind w:left="0" w:right="36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Indirizzomittente1"/>
      <w:spacing w:before="0" w:after="120"/>
      <w:ind w:left="-567" w:right="-711" w:hanging="0"/>
      <w:rPr>
        <w:b/>
        <w:caps w:val="false"/>
        <w:smallCaps w:val="false"/>
        <w:sz w:val="16"/>
        <w:szCs w:val="16"/>
      </w:rPr>
    </w:pPr>
    <w:r>
      <w:rPr>
        <w:b/>
        <w:caps w:val="false"/>
        <w:smallCaps w:val="false"/>
        <w:sz w:val="16"/>
        <w:szCs w:val="16"/>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uzeile"/>
      <w:jc w:val="center"/>
      <w:rPr/>
    </w:pPr>
    <w:r>
      <w:rPr/>
      <w:fldChar w:fldCharType="begin"/>
    </w:r>
    <w:r>
      <w:instrText> PAGE </w:instrText>
    </w:r>
    <w:r>
      <w:fldChar w:fldCharType="separate"/>
    </w:r>
    <w:r>
      <w:t>3</w:t>
    </w:r>
    <w:r>
      <w:fldChar w:fldCharType="end"/>
    </w:r>
  </w:p>
  <w:p>
    <w:pPr>
      <w:pStyle w:val="Normal"/>
      <w:ind w:left="0" w:right="360" w:hanging="0"/>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uzeile"/>
      <w:jc w:val="center"/>
      <w:rPr/>
    </w:pPr>
    <w:r>
      <w:rPr/>
      <w:fldChar w:fldCharType="begin"/>
    </w:r>
    <w:r>
      <w:instrText> PAGE </w:instrText>
    </w:r>
    <w:r>
      <w:fldChar w:fldCharType="separate"/>
    </w:r>
    <w:r>
      <w:t>2</w:t>
    </w:r>
    <w:r>
      <w:fldChar w:fldCharType="end"/>
    </w:r>
  </w:p>
  <w:p>
    <w:pPr>
      <w:pStyle w:val="Normal"/>
      <w:ind w:left="0" w:right="360" w:hanging="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settings>
</file>

<file path=word/styles.xml><?xml version="1.0" encoding="utf-8"?>
<w:styles xmlns:w="http://schemas.openxmlformats.org/wordprocessingml/2006/main">
  <w:docDefaults>
    <w:rPrDefault>
      <w:rPr>
        <w:rFonts w:ascii="Droid Sans" w:hAnsi="Droid Sans" w:eastAsia="Droid Sans Fallback" w:cs="FreeSans"/>
        <w:sz w:val="24"/>
        <w:szCs w:val="24"/>
        <w:lang w:val="de-DE" w:eastAsia="zh-CN" w:bidi="hi-IN"/>
      </w:rPr>
    </w:rPrDefault>
    <w:pPrDefault>
      <w:pPr/>
    </w:pPrDefault>
  </w:docDefaults>
  <w:style w:type="paragraph" w:styleId="Normal">
    <w:name w:val="Normal"/>
    <w:pPr>
      <w:widowControl/>
      <w:suppressAutoHyphens w:val="true"/>
      <w:overflowPunct w:val="false"/>
      <w:bidi w:val="0"/>
      <w:jc w:val="both"/>
    </w:pPr>
    <w:rPr>
      <w:rFonts w:ascii="Garamond" w:hAnsi="Garamond" w:eastAsia="Times New Roman" w:cs="Garamond"/>
      <w:color w:val="00000A"/>
      <w:sz w:val="20"/>
      <w:szCs w:val="20"/>
      <w:lang w:val="it-IT" w:eastAsia="zh-CN" w:bidi="ar-SA"/>
    </w:rPr>
  </w:style>
  <w:style w:type="paragraph" w:styleId="Berschrift1">
    <w:name w:val="Überschrift 1"/>
    <w:pPr>
      <w:widowControl w:val="false"/>
      <w:suppressAutoHyphens w:val="true"/>
      <w:spacing w:before="0" w:after="180"/>
      <w:jc w:val="center"/>
      <w:outlineLvl w:val="0"/>
    </w:pPr>
    <w:rPr>
      <w:rFonts w:ascii="Droid Sans" w:hAnsi="Droid Sans" w:eastAsia="Droid Sans Fallback" w:cs="FreeSans"/>
      <w:smallCaps/>
      <w:color w:val="auto"/>
      <w:spacing w:val="20"/>
      <w:sz w:val="21"/>
      <w:szCs w:val="24"/>
      <w:lang w:val="de-DE" w:eastAsia="zh-CN" w:bidi="hi-IN"/>
    </w:rPr>
  </w:style>
  <w:style w:type="paragraph" w:styleId="Berschrift2">
    <w:name w:val="Überschrift 2"/>
    <w:pPr>
      <w:widowControl w:val="false"/>
      <w:suppressAutoHyphens w:val="true"/>
      <w:spacing w:before="0" w:after="170"/>
      <w:outlineLvl w:val="1"/>
    </w:pPr>
    <w:rPr>
      <w:rFonts w:ascii="Droid Sans" w:hAnsi="Droid Sans" w:eastAsia="Droid Sans Fallback" w:cs="FreeSans"/>
      <w:caps/>
      <w:color w:val="auto"/>
      <w:sz w:val="21"/>
      <w:szCs w:val="24"/>
      <w:lang w:val="de-DE" w:eastAsia="zh-CN" w:bidi="hi-IN"/>
    </w:rPr>
  </w:style>
  <w:style w:type="paragraph" w:styleId="Berschrift3">
    <w:name w:val="Überschrift 3"/>
    <w:pPr>
      <w:widowControl w:val="false"/>
      <w:suppressAutoHyphens w:val="true"/>
      <w:spacing w:before="0" w:after="240"/>
      <w:outlineLvl w:val="2"/>
    </w:pPr>
    <w:rPr>
      <w:rFonts w:ascii="Droid Sans" w:hAnsi="Droid Sans" w:eastAsia="Droid Sans Fallback" w:cs="FreeSans"/>
      <w:i/>
      <w:color w:val="auto"/>
      <w:sz w:val="24"/>
      <w:szCs w:val="24"/>
      <w:lang w:val="de-DE" w:eastAsia="zh-CN" w:bidi="hi-IN"/>
    </w:rPr>
  </w:style>
  <w:style w:type="paragraph" w:styleId="Berschrift4">
    <w:name w:val="Überschrift 4"/>
    <w:pPr>
      <w:widowControl w:val="false"/>
      <w:suppressAutoHyphens w:val="true"/>
      <w:outlineLvl w:val="3"/>
    </w:pPr>
    <w:rPr>
      <w:rFonts w:ascii="Droid Sans" w:hAnsi="Droid Sans" w:eastAsia="Droid Sans Fallback" w:cs="FreeSans"/>
      <w:smallCaps/>
      <w:color w:val="auto"/>
      <w:sz w:val="23"/>
      <w:szCs w:val="24"/>
      <w:lang w:val="de-DE" w:eastAsia="zh-CN" w:bidi="hi-IN"/>
    </w:rPr>
  </w:style>
  <w:style w:type="paragraph" w:styleId="Berschrift5">
    <w:name w:val="Überschrift 5"/>
    <w:pPr>
      <w:widowControl w:val="false"/>
      <w:suppressAutoHyphens w:val="true"/>
      <w:outlineLvl w:val="4"/>
    </w:pPr>
    <w:rPr>
      <w:rFonts w:ascii="Droid Sans" w:hAnsi="Droid Sans" w:eastAsia="Droid Sans Fallback" w:cs="FreeSans"/>
      <w:color w:val="auto"/>
      <w:sz w:val="24"/>
      <w:szCs w:val="24"/>
      <w:lang w:val="de-DE" w:eastAsia="zh-CN" w:bidi="hi-IN"/>
    </w:rPr>
  </w:style>
  <w:style w:type="paragraph" w:styleId="Berschrift6">
    <w:name w:val="Überschrift 6"/>
    <w:pPr>
      <w:widowControl w:val="false"/>
      <w:suppressAutoHyphens w:val="true"/>
      <w:outlineLvl w:val="5"/>
    </w:pPr>
    <w:rPr>
      <w:rFonts w:ascii="Droid Sans" w:hAnsi="Droid Sans" w:eastAsia="Droid Sans Fallback" w:cs="FreeSans"/>
      <w:i/>
      <w:color w:val="auto"/>
      <w:sz w:val="24"/>
      <w:szCs w:val="24"/>
      <w:lang w:val="de-DE" w:eastAsia="zh-CN" w:bidi="hi-IN"/>
    </w:rPr>
  </w:style>
  <w:style w:type="paragraph" w:styleId="Berschrift8">
    <w:name w:val="Überschrift 8"/>
    <w:basedOn w:val="Normal"/>
    <w:next w:val="Normal"/>
    <w:pPr>
      <w:keepNext/>
      <w:outlineLvl w:val="7"/>
    </w:pPr>
    <w:rPr>
      <w:rFonts w:ascii="Bookman Old Style" w:hAnsi="Bookman Old Style" w:cs="Bookman Old Style"/>
      <w:i/>
      <w:sz w:val="18"/>
    </w:rPr>
  </w:style>
  <w:style w:type="character" w:styleId="WW8Num1z0">
    <w:name w:val="WW8Num1z0"/>
    <w:rPr/>
  </w:style>
  <w:style w:type="character" w:styleId="WW8Num1z1">
    <w:name w:val="WW8Num1z1"/>
    <w:rPr/>
  </w:style>
  <w:style w:type="character" w:styleId="WW8Num1z2">
    <w:name w:val="WW8Num1z2"/>
    <w:rPr/>
  </w:style>
  <w:style w:type="character" w:styleId="WW8Num1z3">
    <w:name w:val="WW8Num1z3"/>
    <w:rPr/>
  </w:style>
  <w:style w:type="character" w:styleId="WW8Num1z4">
    <w:name w:val="WW8Num1z4"/>
    <w:rPr/>
  </w:style>
  <w:style w:type="character" w:styleId="WW8Num1z5">
    <w:name w:val="WW8Num1z5"/>
    <w:rPr/>
  </w:style>
  <w:style w:type="character" w:styleId="WW8Num1z6">
    <w:name w:val="WW8Num1z6"/>
    <w:rPr/>
  </w:style>
  <w:style w:type="character" w:styleId="WW8Num1z7">
    <w:name w:val="WW8Num1z7"/>
    <w:rPr/>
  </w:style>
  <w:style w:type="character" w:styleId="WW8Num1z8">
    <w:name w:val="WW8Num1z8"/>
    <w:rPr/>
  </w:style>
  <w:style w:type="character" w:styleId="WW8Num2z0">
    <w:name w:val="WW8Num2z0"/>
    <w:rPr/>
  </w:style>
  <w:style w:type="character" w:styleId="WW8Num2z1">
    <w:name w:val="WW8Num2z1"/>
    <w:rPr/>
  </w:style>
  <w:style w:type="character" w:styleId="WW8Num2z2">
    <w:name w:val="WW8Num2z2"/>
    <w:rPr/>
  </w:style>
  <w:style w:type="character" w:styleId="WW8Num2z3">
    <w:name w:val="WW8Num2z3"/>
    <w:rPr/>
  </w:style>
  <w:style w:type="character" w:styleId="WW8Num2z4">
    <w:name w:val="WW8Num2z4"/>
    <w:rPr/>
  </w:style>
  <w:style w:type="character" w:styleId="WW8Num2z5">
    <w:name w:val="WW8Num2z5"/>
    <w:rPr/>
  </w:style>
  <w:style w:type="character" w:styleId="WW8Num2z6">
    <w:name w:val="WW8Num2z6"/>
    <w:rPr/>
  </w:style>
  <w:style w:type="character" w:styleId="WW8Num2z7">
    <w:name w:val="WW8Num2z7"/>
    <w:rPr/>
  </w:style>
  <w:style w:type="character" w:styleId="WW8Num2z8">
    <w:name w:val="WW8Num2z8"/>
    <w:rPr/>
  </w:style>
  <w:style w:type="character" w:styleId="WW8Num3z0">
    <w:name w:val="WW8Num3z0"/>
    <w:rPr/>
  </w:style>
  <w:style w:type="character" w:styleId="WW8Num4z0">
    <w:name w:val="WW8Num4z0"/>
    <w:rPr>
      <w:rFonts w:ascii="Wingdings" w:hAnsi="Wingdings" w:cs="Wingdings"/>
    </w:rPr>
  </w:style>
  <w:style w:type="character" w:styleId="WW8Num5z0">
    <w:name w:val="WW8Num5z0"/>
    <w:rPr/>
  </w:style>
  <w:style w:type="character" w:styleId="WW8Num6z0">
    <w:name w:val="WW8Num6z0"/>
    <w:rPr>
      <w:rFonts w:ascii="Tahoma" w:hAnsi="Tahoma" w:cs="Tahoma"/>
      <w:sz w:val="20"/>
      <w:szCs w:val="20"/>
    </w:rPr>
  </w:style>
  <w:style w:type="character" w:styleId="WW8Num6z1">
    <w:name w:val="WW8Num6z1"/>
    <w:rPr/>
  </w:style>
  <w:style w:type="character" w:styleId="WW8Num6z2">
    <w:name w:val="WW8Num6z2"/>
    <w:rPr/>
  </w:style>
  <w:style w:type="character" w:styleId="WW8Num6z3">
    <w:name w:val="WW8Num6z3"/>
    <w:rPr/>
  </w:style>
  <w:style w:type="character" w:styleId="WW8Num6z4">
    <w:name w:val="WW8Num6z4"/>
    <w:rPr/>
  </w:style>
  <w:style w:type="character" w:styleId="WW8Num6z5">
    <w:name w:val="WW8Num6z5"/>
    <w:rPr/>
  </w:style>
  <w:style w:type="character" w:styleId="WW8Num6z6">
    <w:name w:val="WW8Num6z6"/>
    <w:rPr/>
  </w:style>
  <w:style w:type="character" w:styleId="WW8Num6z7">
    <w:name w:val="WW8Num6z7"/>
    <w:rPr/>
  </w:style>
  <w:style w:type="character" w:styleId="WW8Num6z8">
    <w:name w:val="WW8Num6z8"/>
    <w:rPr/>
  </w:style>
  <w:style w:type="character" w:styleId="WW8Num7z0">
    <w:name w:val="WW8Num7z0"/>
    <w:rPr>
      <w:rFonts w:ascii="Symbol" w:hAnsi="Symbol" w:cs="Symbol"/>
    </w:rPr>
  </w:style>
  <w:style w:type="character" w:styleId="WW8Num8z0">
    <w:name w:val="WW8Num8z0"/>
    <w:rPr>
      <w:rFonts w:ascii="Symbol" w:hAnsi="Symbol" w:cs="Symbol"/>
    </w:rPr>
  </w:style>
  <w:style w:type="character" w:styleId="WW8Num9z0">
    <w:name w:val="WW8Num9z0"/>
    <w:rPr/>
  </w:style>
  <w:style w:type="character" w:styleId="WW8Num10z0">
    <w:name w:val="WW8Num10z0"/>
    <w:rPr/>
  </w:style>
  <w:style w:type="character" w:styleId="WW8Num10z1">
    <w:name w:val="WW8Num10z1"/>
    <w:rPr/>
  </w:style>
  <w:style w:type="character" w:styleId="WW8Num10z2">
    <w:name w:val="WW8Num10z2"/>
    <w:rPr/>
  </w:style>
  <w:style w:type="character" w:styleId="WW8Num10z3">
    <w:name w:val="WW8Num10z3"/>
    <w:rPr/>
  </w:style>
  <w:style w:type="character" w:styleId="WW8Num10z4">
    <w:name w:val="WW8Num10z4"/>
    <w:rPr/>
  </w:style>
  <w:style w:type="character" w:styleId="WW8Num10z5">
    <w:name w:val="WW8Num10z5"/>
    <w:rPr/>
  </w:style>
  <w:style w:type="character" w:styleId="WW8Num10z6">
    <w:name w:val="WW8Num10z6"/>
    <w:rPr/>
  </w:style>
  <w:style w:type="character" w:styleId="WW8Num10z7">
    <w:name w:val="WW8Num10z7"/>
    <w:rPr/>
  </w:style>
  <w:style w:type="character" w:styleId="WW8Num10z8">
    <w:name w:val="WW8Num10z8"/>
    <w:rPr/>
  </w:style>
  <w:style w:type="character" w:styleId="WW8Num11z0">
    <w:name w:val="WW8Num11z0"/>
    <w:rPr/>
  </w:style>
  <w:style w:type="character" w:styleId="WW8Num12z0">
    <w:name w:val="WW8Num12z0"/>
    <w:rPr>
      <w:i w:val="false"/>
    </w:rPr>
  </w:style>
  <w:style w:type="character" w:styleId="WW8Num12z1">
    <w:name w:val="WW8Num12z1"/>
    <w:rPr/>
  </w:style>
  <w:style w:type="character" w:styleId="WW8Num12z2">
    <w:name w:val="WW8Num12z2"/>
    <w:rPr/>
  </w:style>
  <w:style w:type="character" w:styleId="WW8Num12z3">
    <w:name w:val="WW8Num12z3"/>
    <w:rPr/>
  </w:style>
  <w:style w:type="character" w:styleId="WW8Num12z4">
    <w:name w:val="WW8Num12z4"/>
    <w:rPr/>
  </w:style>
  <w:style w:type="character" w:styleId="WW8Num12z5">
    <w:name w:val="WW8Num12z5"/>
    <w:rPr/>
  </w:style>
  <w:style w:type="character" w:styleId="WW8Num12z6">
    <w:name w:val="WW8Num12z6"/>
    <w:rPr/>
  </w:style>
  <w:style w:type="character" w:styleId="WW8Num12z7">
    <w:name w:val="WW8Num12z7"/>
    <w:rPr/>
  </w:style>
  <w:style w:type="character" w:styleId="WW8Num12z8">
    <w:name w:val="WW8Num12z8"/>
    <w:rPr/>
  </w:style>
  <w:style w:type="character" w:styleId="WW8Num13z0">
    <w:name w:val="WW8Num13z0"/>
    <w:rPr/>
  </w:style>
  <w:style w:type="character" w:styleId="WW8Num13z1">
    <w:name w:val="WW8Num13z1"/>
    <w:rPr/>
  </w:style>
  <w:style w:type="character" w:styleId="WW8Num13z2">
    <w:name w:val="WW8Num13z2"/>
    <w:rPr/>
  </w:style>
  <w:style w:type="character" w:styleId="WW8Num13z3">
    <w:name w:val="WW8Num13z3"/>
    <w:rPr/>
  </w:style>
  <w:style w:type="character" w:styleId="WW8Num13z4">
    <w:name w:val="WW8Num13z4"/>
    <w:rPr/>
  </w:style>
  <w:style w:type="character" w:styleId="WW8Num13z5">
    <w:name w:val="WW8Num13z5"/>
    <w:rPr/>
  </w:style>
  <w:style w:type="character" w:styleId="WW8Num13z6">
    <w:name w:val="WW8Num13z6"/>
    <w:rPr/>
  </w:style>
  <w:style w:type="character" w:styleId="WW8Num13z7">
    <w:name w:val="WW8Num13z7"/>
    <w:rPr/>
  </w:style>
  <w:style w:type="character" w:styleId="WW8Num13z8">
    <w:name w:val="WW8Num13z8"/>
    <w:rPr/>
  </w:style>
  <w:style w:type="character" w:styleId="WW8Num14z0">
    <w:name w:val="WW8Num14z0"/>
    <w:rPr/>
  </w:style>
  <w:style w:type="character" w:styleId="WW8Num14z1">
    <w:name w:val="WW8Num14z1"/>
    <w:rPr/>
  </w:style>
  <w:style w:type="character" w:styleId="WW8Num14z2">
    <w:name w:val="WW8Num14z2"/>
    <w:rPr/>
  </w:style>
  <w:style w:type="character" w:styleId="WW8Num14z3">
    <w:name w:val="WW8Num14z3"/>
    <w:rPr/>
  </w:style>
  <w:style w:type="character" w:styleId="WW8Num14z4">
    <w:name w:val="WW8Num14z4"/>
    <w:rPr/>
  </w:style>
  <w:style w:type="character" w:styleId="WW8Num14z5">
    <w:name w:val="WW8Num14z5"/>
    <w:rPr/>
  </w:style>
  <w:style w:type="character" w:styleId="WW8Num14z6">
    <w:name w:val="WW8Num14z6"/>
    <w:rPr/>
  </w:style>
  <w:style w:type="character" w:styleId="WW8Num14z7">
    <w:name w:val="WW8Num14z7"/>
    <w:rPr/>
  </w:style>
  <w:style w:type="character" w:styleId="WW8Num14z8">
    <w:name w:val="WW8Num14z8"/>
    <w:rPr/>
  </w:style>
  <w:style w:type="character" w:styleId="WW8Num15z0">
    <w:name w:val="WW8Num15z0"/>
    <w:rPr>
      <w:rFonts w:ascii="Times New Roman" w:hAnsi="Times New Roman" w:eastAsia="Times New Roman" w:cs="Times New Roman"/>
    </w:rPr>
  </w:style>
  <w:style w:type="character" w:styleId="WW8Num15z1">
    <w:name w:val="WW8Num15z1"/>
    <w:rPr>
      <w:rFonts w:ascii="Courier New" w:hAnsi="Courier New" w:cs="Courier New"/>
    </w:rPr>
  </w:style>
  <w:style w:type="character" w:styleId="WW8Num15z2">
    <w:name w:val="WW8Num15z2"/>
    <w:rPr>
      <w:rFonts w:ascii="Wingdings" w:hAnsi="Wingdings" w:cs="Wingdings"/>
    </w:rPr>
  </w:style>
  <w:style w:type="character" w:styleId="WW8Num15z3">
    <w:name w:val="WW8Num15z3"/>
    <w:rPr>
      <w:rFonts w:ascii="Symbol" w:hAnsi="Symbol" w:cs="Symbol"/>
    </w:rPr>
  </w:style>
  <w:style w:type="character" w:styleId="WW8Num16z0">
    <w:name w:val="WW8Num16z0"/>
    <w:rPr/>
  </w:style>
  <w:style w:type="character" w:styleId="WW8Num16z1">
    <w:name w:val="WW8Num16z1"/>
    <w:rPr/>
  </w:style>
  <w:style w:type="character" w:styleId="WW8Num16z2">
    <w:name w:val="WW8Num16z2"/>
    <w:rPr/>
  </w:style>
  <w:style w:type="character" w:styleId="WW8Num16z3">
    <w:name w:val="WW8Num16z3"/>
    <w:rPr/>
  </w:style>
  <w:style w:type="character" w:styleId="WW8Num16z4">
    <w:name w:val="WW8Num16z4"/>
    <w:rPr/>
  </w:style>
  <w:style w:type="character" w:styleId="WW8Num16z5">
    <w:name w:val="WW8Num16z5"/>
    <w:rPr/>
  </w:style>
  <w:style w:type="character" w:styleId="WW8Num16z6">
    <w:name w:val="WW8Num16z6"/>
    <w:rPr/>
  </w:style>
  <w:style w:type="character" w:styleId="WW8Num16z7">
    <w:name w:val="WW8Num16z7"/>
    <w:rPr/>
  </w:style>
  <w:style w:type="character" w:styleId="WW8Num16z8">
    <w:name w:val="WW8Num16z8"/>
    <w:rPr/>
  </w:style>
  <w:style w:type="character" w:styleId="WW8Num17z0">
    <w:name w:val="WW8Num17z0"/>
    <w:rPr>
      <w:rFonts w:ascii="Wingdings" w:hAnsi="Wingdings" w:cs="Wingdings"/>
    </w:rPr>
  </w:style>
  <w:style w:type="character" w:styleId="WW8Num18z0">
    <w:name w:val="WW8Num18z0"/>
    <w:rPr>
      <w:rFonts w:ascii="Times New Roman" w:hAnsi="Times New Roman" w:eastAsia="Times New Roman" w:cs="Times New Roman"/>
    </w:rPr>
  </w:style>
  <w:style w:type="character" w:styleId="WW8Num18z1">
    <w:name w:val="WW8Num18z1"/>
    <w:rPr>
      <w:rFonts w:ascii="Courier New" w:hAnsi="Courier New" w:cs="Courier New"/>
    </w:rPr>
  </w:style>
  <w:style w:type="character" w:styleId="WW8Num18z2">
    <w:name w:val="WW8Num18z2"/>
    <w:rPr>
      <w:rFonts w:ascii="Wingdings" w:hAnsi="Wingdings" w:cs="Wingdings"/>
    </w:rPr>
  </w:style>
  <w:style w:type="character" w:styleId="WW8Num18z3">
    <w:name w:val="WW8Num18z3"/>
    <w:rPr>
      <w:rFonts w:ascii="Symbol" w:hAnsi="Symbol" w:cs="Symbol"/>
    </w:rPr>
  </w:style>
  <w:style w:type="character" w:styleId="WW8Num19z0">
    <w:name w:val="WW8Num19z0"/>
    <w:rPr>
      <w:rFonts w:ascii="Times New Roman" w:hAnsi="Times New Roman" w:eastAsia="Times New Roman" w:cs="Times New Roman"/>
      <w:b w:val="false"/>
    </w:rPr>
  </w:style>
  <w:style w:type="character" w:styleId="WW8Num19z1">
    <w:name w:val="WW8Num19z1"/>
    <w:rPr>
      <w:rFonts w:ascii="Courier New" w:hAnsi="Courier New" w:cs="Courier New"/>
    </w:rPr>
  </w:style>
  <w:style w:type="character" w:styleId="WW8Num19z2">
    <w:name w:val="WW8Num19z2"/>
    <w:rPr>
      <w:rFonts w:ascii="Wingdings" w:hAnsi="Wingdings" w:cs="Wingdings"/>
    </w:rPr>
  </w:style>
  <w:style w:type="character" w:styleId="WW8Num19z3">
    <w:name w:val="WW8Num19z3"/>
    <w:rPr>
      <w:rFonts w:ascii="Symbol" w:hAnsi="Symbol" w:cs="Symbol"/>
    </w:rPr>
  </w:style>
  <w:style w:type="character" w:styleId="WW8Num20z0">
    <w:name w:val="WW8Num20z0"/>
    <w:rPr/>
  </w:style>
  <w:style w:type="character" w:styleId="WW8Num20z1">
    <w:name w:val="WW8Num20z1"/>
    <w:rPr/>
  </w:style>
  <w:style w:type="character" w:styleId="WW8Num20z2">
    <w:name w:val="WW8Num20z2"/>
    <w:rPr/>
  </w:style>
  <w:style w:type="character" w:styleId="WW8Num20z3">
    <w:name w:val="WW8Num20z3"/>
    <w:rPr/>
  </w:style>
  <w:style w:type="character" w:styleId="WW8Num20z4">
    <w:name w:val="WW8Num20z4"/>
    <w:rPr/>
  </w:style>
  <w:style w:type="character" w:styleId="WW8Num20z5">
    <w:name w:val="WW8Num20z5"/>
    <w:rPr/>
  </w:style>
  <w:style w:type="character" w:styleId="WW8Num20z6">
    <w:name w:val="WW8Num20z6"/>
    <w:rPr/>
  </w:style>
  <w:style w:type="character" w:styleId="WW8Num20z7">
    <w:name w:val="WW8Num20z7"/>
    <w:rPr/>
  </w:style>
  <w:style w:type="character" w:styleId="WW8Num20z8">
    <w:name w:val="WW8Num20z8"/>
    <w:rPr/>
  </w:style>
  <w:style w:type="character" w:styleId="WW8Num21z0">
    <w:name w:val="WW8Num21z0"/>
    <w:rPr>
      <w:sz w:val="24"/>
      <w:szCs w:val="24"/>
    </w:rPr>
  </w:style>
  <w:style w:type="character" w:styleId="WW8Num21z1">
    <w:name w:val="WW8Num21z1"/>
    <w:rPr/>
  </w:style>
  <w:style w:type="character" w:styleId="WW8Num21z2">
    <w:name w:val="WW8Num21z2"/>
    <w:rPr/>
  </w:style>
  <w:style w:type="character" w:styleId="WW8Num21z3">
    <w:name w:val="WW8Num21z3"/>
    <w:rPr/>
  </w:style>
  <w:style w:type="character" w:styleId="WW8Num21z4">
    <w:name w:val="WW8Num21z4"/>
    <w:rPr/>
  </w:style>
  <w:style w:type="character" w:styleId="WW8Num21z5">
    <w:name w:val="WW8Num21z5"/>
    <w:rPr/>
  </w:style>
  <w:style w:type="character" w:styleId="WW8Num21z6">
    <w:name w:val="WW8Num21z6"/>
    <w:rPr/>
  </w:style>
  <w:style w:type="character" w:styleId="WW8Num21z7">
    <w:name w:val="WW8Num21z7"/>
    <w:rPr/>
  </w:style>
  <w:style w:type="character" w:styleId="WW8Num21z8">
    <w:name w:val="WW8Num21z8"/>
    <w:rPr/>
  </w:style>
  <w:style w:type="character" w:styleId="WW8Num22z0">
    <w:name w:val="WW8Num22z0"/>
    <w:rPr>
      <w:rFonts w:ascii="Times New Roman" w:hAnsi="Times New Roman" w:eastAsia="Times New Roman" w:cs="Times New Roman"/>
    </w:rPr>
  </w:style>
  <w:style w:type="character" w:styleId="WW8Num22z1">
    <w:name w:val="WW8Num22z1"/>
    <w:rPr>
      <w:rFonts w:ascii="Courier New" w:hAnsi="Courier New" w:cs="Courier New"/>
    </w:rPr>
  </w:style>
  <w:style w:type="character" w:styleId="WW8Num22z2">
    <w:name w:val="WW8Num22z2"/>
    <w:rPr>
      <w:rFonts w:ascii="Wingdings" w:hAnsi="Wingdings" w:cs="Wingdings"/>
    </w:rPr>
  </w:style>
  <w:style w:type="character" w:styleId="WW8Num22z3">
    <w:name w:val="WW8Num22z3"/>
    <w:rPr>
      <w:rFonts w:ascii="Symbol" w:hAnsi="Symbol" w:cs="Symbol"/>
    </w:rPr>
  </w:style>
  <w:style w:type="character" w:styleId="WW8Num23z0">
    <w:name w:val="WW8Num23z0"/>
    <w:rPr>
      <w:rFonts w:ascii="Times New Roman" w:hAnsi="Times New Roman" w:eastAsia="Times New Roman" w:cs="Times New Roman"/>
    </w:rPr>
  </w:style>
  <w:style w:type="character" w:styleId="WW8Num23z1">
    <w:name w:val="WW8Num23z1"/>
    <w:rPr>
      <w:rFonts w:ascii="Courier New" w:hAnsi="Courier New" w:cs="Courier New"/>
    </w:rPr>
  </w:style>
  <w:style w:type="character" w:styleId="WW8Num23z2">
    <w:name w:val="WW8Num23z2"/>
    <w:rPr>
      <w:rFonts w:ascii="Wingdings" w:hAnsi="Wingdings" w:cs="Wingdings"/>
    </w:rPr>
  </w:style>
  <w:style w:type="character" w:styleId="WW8Num23z3">
    <w:name w:val="WW8Num23z3"/>
    <w:rPr>
      <w:rFonts w:ascii="Symbol" w:hAnsi="Symbol" w:cs="Symbol"/>
    </w:rPr>
  </w:style>
  <w:style w:type="character" w:styleId="WW8Num24z0">
    <w:name w:val="WW8Num24z0"/>
    <w:rPr>
      <w:rFonts w:ascii="Times New Roman" w:hAnsi="Times New Roman" w:eastAsia="Times New Roman" w:cs="Times New Roman"/>
    </w:rPr>
  </w:style>
  <w:style w:type="character" w:styleId="WW8Num24z1">
    <w:name w:val="WW8Num24z1"/>
    <w:rPr>
      <w:rFonts w:ascii="Courier New" w:hAnsi="Courier New" w:cs="Courier New"/>
    </w:rPr>
  </w:style>
  <w:style w:type="character" w:styleId="WW8Num24z2">
    <w:name w:val="WW8Num24z2"/>
    <w:rPr>
      <w:rFonts w:ascii="Wingdings" w:hAnsi="Wingdings" w:cs="Wingdings"/>
    </w:rPr>
  </w:style>
  <w:style w:type="character" w:styleId="WW8Num24z3">
    <w:name w:val="WW8Num24z3"/>
    <w:rPr>
      <w:rFonts w:ascii="Symbol" w:hAnsi="Symbol" w:cs="Symbol"/>
    </w:rPr>
  </w:style>
  <w:style w:type="character" w:styleId="WW8Num25z0">
    <w:name w:val="WW8Num25z0"/>
    <w:rPr>
      <w:rFonts w:ascii="Garamond" w:hAnsi="Garamond" w:eastAsia="Times New Roman" w:cs="Times New Roman"/>
    </w:rPr>
  </w:style>
  <w:style w:type="character" w:styleId="WW8Num25z1">
    <w:name w:val="WW8Num25z1"/>
    <w:rPr/>
  </w:style>
  <w:style w:type="character" w:styleId="WW8Num25z2">
    <w:name w:val="WW8Num25z2"/>
    <w:rPr/>
  </w:style>
  <w:style w:type="character" w:styleId="WW8Num25z3">
    <w:name w:val="WW8Num25z3"/>
    <w:rPr/>
  </w:style>
  <w:style w:type="character" w:styleId="WW8Num25z4">
    <w:name w:val="WW8Num25z4"/>
    <w:rPr/>
  </w:style>
  <w:style w:type="character" w:styleId="WW8Num25z5">
    <w:name w:val="WW8Num25z5"/>
    <w:rPr/>
  </w:style>
  <w:style w:type="character" w:styleId="WW8Num25z6">
    <w:name w:val="WW8Num25z6"/>
    <w:rPr/>
  </w:style>
  <w:style w:type="character" w:styleId="WW8Num25z7">
    <w:name w:val="WW8Num25z7"/>
    <w:rPr/>
  </w:style>
  <w:style w:type="character" w:styleId="WW8Num25z8">
    <w:name w:val="WW8Num25z8"/>
    <w:rPr/>
  </w:style>
  <w:style w:type="character" w:styleId="WW8Num26z0">
    <w:name w:val="WW8Num26z0"/>
    <w:rPr/>
  </w:style>
  <w:style w:type="character" w:styleId="WW8Num26z1">
    <w:name w:val="WW8Num26z1"/>
    <w:rPr/>
  </w:style>
  <w:style w:type="character" w:styleId="WW8Num26z2">
    <w:name w:val="WW8Num26z2"/>
    <w:rPr/>
  </w:style>
  <w:style w:type="character" w:styleId="WW8Num26z3">
    <w:name w:val="WW8Num26z3"/>
    <w:rPr/>
  </w:style>
  <w:style w:type="character" w:styleId="WW8Num26z4">
    <w:name w:val="WW8Num26z4"/>
    <w:rPr/>
  </w:style>
  <w:style w:type="character" w:styleId="WW8Num26z5">
    <w:name w:val="WW8Num26z5"/>
    <w:rPr/>
  </w:style>
  <w:style w:type="character" w:styleId="WW8Num26z6">
    <w:name w:val="WW8Num26z6"/>
    <w:rPr/>
  </w:style>
  <w:style w:type="character" w:styleId="WW8Num26z7">
    <w:name w:val="WW8Num26z7"/>
    <w:rPr/>
  </w:style>
  <w:style w:type="character" w:styleId="WW8Num26z8">
    <w:name w:val="WW8Num26z8"/>
    <w:rPr/>
  </w:style>
  <w:style w:type="character" w:styleId="WW8Num27z0">
    <w:name w:val="WW8Num27z0"/>
    <w:rPr/>
  </w:style>
  <w:style w:type="character" w:styleId="WW8Num27z1">
    <w:name w:val="WW8Num27z1"/>
    <w:rPr/>
  </w:style>
  <w:style w:type="character" w:styleId="WW8Num27z2">
    <w:name w:val="WW8Num27z2"/>
    <w:rPr/>
  </w:style>
  <w:style w:type="character" w:styleId="WW8Num27z3">
    <w:name w:val="WW8Num27z3"/>
    <w:rPr/>
  </w:style>
  <w:style w:type="character" w:styleId="WW8Num27z4">
    <w:name w:val="WW8Num27z4"/>
    <w:rPr/>
  </w:style>
  <w:style w:type="character" w:styleId="WW8Num27z5">
    <w:name w:val="WW8Num27z5"/>
    <w:rPr/>
  </w:style>
  <w:style w:type="character" w:styleId="WW8Num27z6">
    <w:name w:val="WW8Num27z6"/>
    <w:rPr/>
  </w:style>
  <w:style w:type="character" w:styleId="WW8Num27z7">
    <w:name w:val="WW8Num27z7"/>
    <w:rPr/>
  </w:style>
  <w:style w:type="character" w:styleId="WW8Num27z8">
    <w:name w:val="WW8Num27z8"/>
    <w:rPr/>
  </w:style>
  <w:style w:type="character" w:styleId="Carpredefinitoparagrafo">
    <w:name w:val="Car. predefinito paragrafo"/>
    <w:rPr/>
  </w:style>
  <w:style w:type="character" w:styleId="Betont">
    <w:name w:val="Betont"/>
    <w:rPr>
      <w:i/>
      <w:iCs/>
      <w:caps/>
      <w:sz w:val="18"/>
    </w:rPr>
  </w:style>
  <w:style w:type="character" w:styleId="Slogan">
    <w:name w:val="Slogan"/>
    <w:rPr>
      <w:i/>
      <w:spacing w:val="70"/>
    </w:rPr>
  </w:style>
  <w:style w:type="character" w:styleId="Rientrocorpodeltesto2Carattere">
    <w:name w:val="Rientro corpo del testo 2 Carattere"/>
    <w:rPr>
      <w:rFonts w:ascii="Garamond" w:hAnsi="Garamond" w:cs="Garamond"/>
    </w:rPr>
  </w:style>
  <w:style w:type="character" w:styleId="RientrocorpodeltestoCarattere">
    <w:name w:val="Rientro corpo del testo Carattere"/>
    <w:rPr>
      <w:rFonts w:ascii="Garamond" w:hAnsi="Garamond" w:cs="Garamond"/>
    </w:rPr>
  </w:style>
  <w:style w:type="character" w:styleId="Internetlink">
    <w:name w:val="Internetlink"/>
    <w:rPr>
      <w:color w:val="0000FF"/>
      <w:u w:val="single"/>
      <w:lang w:val="zxx" w:eastAsia="zxx" w:bidi="zxx"/>
    </w:rPr>
  </w:style>
  <w:style w:type="character" w:styleId="Titolotesti21">
    <w:name w:val="titolotesti21"/>
    <w:rPr>
      <w:rFonts w:ascii="Times New Roman" w:hAnsi="Times New Roman" w:cs="Times New Roman"/>
      <w:b/>
      <w:bCs/>
    </w:rPr>
  </w:style>
  <w:style w:type="character" w:styleId="PidipaginaCarattere">
    <w:name w:val="Piè di pagina Carattere"/>
    <w:rPr>
      <w:rFonts w:ascii="Garamond" w:hAnsi="Garamond" w:cs="Garamond"/>
    </w:rPr>
  </w:style>
  <w:style w:type="character" w:styleId="ListLabel1">
    <w:name w:val="ListLabel 1"/>
    <w:rPr>
      <w:rFonts w:cs="Wingdings"/>
    </w:rPr>
  </w:style>
  <w:style w:type="character" w:styleId="ListLabel2">
    <w:name w:val="ListLabel 2"/>
    <w:rPr>
      <w:sz w:val="20"/>
      <w:szCs w:val="20"/>
    </w:rPr>
  </w:style>
  <w:style w:type="paragraph" w:styleId="Berschrift">
    <w:name w:val="Überschrift"/>
    <w:basedOn w:val="Normal"/>
    <w:next w:val="Textkrper"/>
    <w:pPr>
      <w:keepNext/>
      <w:spacing w:before="240" w:after="120"/>
    </w:pPr>
    <w:rPr>
      <w:rFonts w:ascii="Liberation Sans;Arial" w:hAnsi="Liberation Sans;Arial" w:eastAsia="Droid Sans Fallback" w:cs="FreeSans"/>
      <w:sz w:val="28"/>
      <w:szCs w:val="28"/>
    </w:rPr>
  </w:style>
  <w:style w:type="paragraph" w:styleId="Textkrper">
    <w:name w:val="Textkörper"/>
    <w:basedOn w:val="Normal"/>
    <w:pPr>
      <w:spacing w:lineRule="atLeast" w:line="240" w:before="0" w:after="240"/>
      <w:ind w:left="0" w:right="0" w:firstLine="360"/>
    </w:pPr>
    <w:rPr/>
  </w:style>
  <w:style w:type="paragraph" w:styleId="Liste">
    <w:name w:val="Liste"/>
    <w:basedOn w:val="Textkrper"/>
    <w:pPr>
      <w:ind w:left="720" w:right="0" w:hanging="360"/>
    </w:pPr>
    <w:rPr>
      <w:rFonts w:ascii="Droid Sans" w:hAnsi="Droid Sans" w:cs="FreeSans"/>
    </w:rPr>
  </w:style>
  <w:style w:type="paragraph" w:styleId="Beschriftung">
    <w:name w:val="Beschriftung"/>
    <w:basedOn w:val="Normal"/>
    <w:pPr>
      <w:suppressLineNumbers/>
      <w:spacing w:before="120" w:after="120"/>
    </w:pPr>
    <w:rPr>
      <w:rFonts w:ascii="Droid Sans" w:hAnsi="Droid Sans" w:cs="FreeSans"/>
      <w:i/>
      <w:iCs/>
      <w:sz w:val="24"/>
      <w:szCs w:val="24"/>
    </w:rPr>
  </w:style>
  <w:style w:type="paragraph" w:styleId="Verzeichnis">
    <w:name w:val="Verzeichnis"/>
    <w:basedOn w:val="Normal"/>
    <w:pPr>
      <w:suppressLineNumbers/>
    </w:pPr>
    <w:rPr>
      <w:rFonts w:ascii="Droid Sans" w:hAnsi="Droid Sans" w:cs="FreeSans"/>
    </w:rPr>
  </w:style>
  <w:style w:type="paragraph" w:styleId="BaseTitolo">
    <w:name w:val="Base Titolo"/>
    <w:basedOn w:val="Textkrper"/>
    <w:pPr>
      <w:keepNext/>
      <w:keepLines/>
      <w:spacing w:before="0" w:after="0"/>
      <w:ind w:left="0" w:right="0" w:hanging="0"/>
      <w:jc w:val="left"/>
    </w:pPr>
    <w:rPr/>
  </w:style>
  <w:style w:type="paragraph" w:styleId="Rigaattenzione">
    <w:name w:val="Riga attenzione"/>
    <w:basedOn w:val="Normal"/>
    <w:pPr>
      <w:spacing w:lineRule="atLeast" w:line="240" w:before="220" w:after="0"/>
    </w:pPr>
    <w:rPr/>
  </w:style>
  <w:style w:type="paragraph" w:styleId="Formuladiapertura">
    <w:name w:val="Formula di apertura"/>
    <w:basedOn w:val="Normal"/>
    <w:pPr>
      <w:spacing w:lineRule="atLeast" w:line="240" w:before="240" w:after="240"/>
      <w:jc w:val="left"/>
    </w:pPr>
    <w:rPr/>
  </w:style>
  <w:style w:type="paragraph" w:styleId="CC">
    <w:name w:val="CC"/>
    <w:basedOn w:val="Normal"/>
    <w:pPr>
      <w:keepLines/>
      <w:spacing w:lineRule="atLeast" w:line="240"/>
      <w:ind w:left="360" w:right="0" w:hanging="360"/>
    </w:pPr>
    <w:rPr/>
  </w:style>
  <w:style w:type="paragraph" w:styleId="Gruformel">
    <w:name w:val="Grußformel"/>
    <w:basedOn w:val="Normal"/>
    <w:next w:val="Unterschrift"/>
    <w:pPr>
      <w:keepNext/>
      <w:spacing w:lineRule="atLeast" w:line="240" w:before="0" w:after="120"/>
      <w:ind w:left="4565" w:right="0" w:hanging="0"/>
    </w:pPr>
    <w:rPr/>
  </w:style>
  <w:style w:type="paragraph" w:styleId="Unterschrift">
    <w:name w:val="Unterschrift"/>
    <w:basedOn w:val="Normal"/>
    <w:pPr>
      <w:keepNext/>
      <w:spacing w:lineRule="atLeast" w:line="240" w:before="880" w:after="0"/>
      <w:ind w:left="4565" w:right="0" w:hanging="0"/>
      <w:jc w:val="left"/>
    </w:pPr>
    <w:rPr/>
  </w:style>
  <w:style w:type="paragraph" w:styleId="Nomesociet">
    <w:name w:val="Nome società"/>
    <w:basedOn w:val="Textkrper"/>
    <w:pPr>
      <w:keepLines/>
      <w:spacing w:before="0" w:after="40"/>
      <w:ind w:left="0" w:right="0" w:hanging="0"/>
      <w:jc w:val="center"/>
    </w:pPr>
    <w:rPr>
      <w:caps/>
      <w:spacing w:val="75"/>
      <w:sz w:val="21"/>
    </w:rPr>
  </w:style>
  <w:style w:type="paragraph" w:styleId="Data">
    <w:name w:val="Data"/>
    <w:basedOn w:val="Normal"/>
    <w:pPr>
      <w:spacing w:before="0" w:after="220"/>
      <w:ind w:left="4565" w:right="0" w:hanging="0"/>
    </w:pPr>
    <w:rPr/>
  </w:style>
  <w:style w:type="paragraph" w:styleId="Allegato">
    <w:name w:val="Allegato"/>
    <w:basedOn w:val="Normal"/>
    <w:next w:val="CC"/>
    <w:pPr>
      <w:keepNext/>
      <w:keepLines/>
      <w:spacing w:lineRule="atLeast" w:line="240" w:before="120" w:after="120"/>
    </w:pPr>
    <w:rPr/>
  </w:style>
  <w:style w:type="paragraph" w:styleId="Indirizzointerno">
    <w:name w:val="Indirizzo interno"/>
    <w:basedOn w:val="Normal"/>
    <w:pPr>
      <w:spacing w:lineRule="atLeast" w:line="240"/>
    </w:pPr>
    <w:rPr/>
  </w:style>
  <w:style w:type="paragraph" w:styleId="Indirizzo">
    <w:name w:val="Indirizzo"/>
    <w:basedOn w:val="Indirizzointerno"/>
    <w:pPr>
      <w:spacing w:before="220" w:after="0"/>
    </w:pPr>
    <w:rPr/>
  </w:style>
  <w:style w:type="paragraph" w:styleId="Istruzionidiinvio">
    <w:name w:val="Istruzioni di invio"/>
    <w:basedOn w:val="Normal"/>
    <w:next w:val="Indirizzo"/>
    <w:pPr>
      <w:keepNext/>
      <w:spacing w:lineRule="atLeast" w:line="240" w:before="0" w:after="240"/>
    </w:pPr>
    <w:rPr>
      <w:caps/>
    </w:rPr>
  </w:style>
  <w:style w:type="paragraph" w:styleId="Inizialiriferimento">
    <w:name w:val="Iniziali riferimento"/>
    <w:basedOn w:val="Normal"/>
    <w:next w:val="Allegato"/>
    <w:pPr>
      <w:keepNext/>
      <w:spacing w:lineRule="atLeast" w:line="240" w:before="220" w:after="0"/>
      <w:jc w:val="left"/>
    </w:pPr>
    <w:rPr/>
  </w:style>
  <w:style w:type="paragraph" w:styleId="Rigariferimento">
    <w:name w:val="Riga riferimento"/>
    <w:basedOn w:val="Normal"/>
    <w:pPr>
      <w:keepNext/>
      <w:spacing w:lineRule="atLeast" w:line="240" w:before="0" w:after="240"/>
      <w:jc w:val="left"/>
    </w:pPr>
    <w:rPr/>
  </w:style>
  <w:style w:type="paragraph" w:styleId="Indirizzomittente1">
    <w:name w:val="Indirizzo mittente 1"/>
    <w:pPr>
      <w:widowControl/>
      <w:tabs>
        <w:tab w:val="left" w:pos="2160" w:leader="none"/>
      </w:tabs>
      <w:suppressAutoHyphens w:val="true"/>
      <w:overflowPunct w:val="false"/>
      <w:bidi w:val="0"/>
      <w:spacing w:lineRule="atLeast" w:line="240"/>
      <w:ind w:left="0" w:right="-240" w:hanging="0"/>
      <w:jc w:val="center"/>
    </w:pPr>
    <w:rPr>
      <w:rFonts w:ascii="Garamond" w:hAnsi="Garamond" w:eastAsia="Times New Roman" w:cs="Garamond"/>
      <w:caps/>
      <w:color w:val="00000A"/>
      <w:spacing w:val="30"/>
      <w:sz w:val="14"/>
      <w:szCs w:val="20"/>
      <w:lang w:val="it-IT" w:eastAsia="zh-CN" w:bidi="ar-SA"/>
    </w:rPr>
  </w:style>
  <w:style w:type="paragraph" w:styleId="Firmasociet">
    <w:name w:val="Firma società"/>
    <w:basedOn w:val="Unterschrift"/>
    <w:pPr>
      <w:spacing w:before="0" w:after="0"/>
    </w:pPr>
    <w:rPr/>
  </w:style>
  <w:style w:type="paragraph" w:styleId="Firmatitolo">
    <w:name w:val="Firma titolo"/>
    <w:basedOn w:val="Unterschrift"/>
    <w:pPr>
      <w:spacing w:before="0" w:after="0"/>
    </w:pPr>
    <w:rPr/>
  </w:style>
  <w:style w:type="paragraph" w:styleId="Oggetto">
    <w:name w:val="Oggetto"/>
    <w:basedOn w:val="Normal"/>
    <w:pPr>
      <w:spacing w:lineRule="atLeast" w:line="240" w:before="120" w:after="180"/>
      <w:ind w:left="357" w:right="0" w:hanging="357"/>
      <w:jc w:val="left"/>
    </w:pPr>
    <w:rPr>
      <w:caps/>
      <w:sz w:val="21"/>
    </w:rPr>
  </w:style>
  <w:style w:type="paragraph" w:styleId="Kopfzeile">
    <w:name w:val="Kopfzeile"/>
    <w:basedOn w:val="Normal"/>
    <w:pPr>
      <w:tabs>
        <w:tab w:val="center" w:pos="4320" w:leader="none"/>
        <w:tab w:val="right" w:pos="8640" w:leader="none"/>
      </w:tabs>
    </w:pPr>
    <w:rPr/>
  </w:style>
  <w:style w:type="paragraph" w:styleId="Puntoelenco">
    <w:name w:val="Punto elenco"/>
    <w:basedOn w:val="Liste"/>
    <w:pPr>
      <w:ind w:left="720" w:right="720" w:hanging="360"/>
    </w:pPr>
    <w:rPr/>
  </w:style>
  <w:style w:type="paragraph" w:styleId="Numeroelenco">
    <w:name w:val="Numero elenco"/>
    <w:basedOn w:val="Liste"/>
    <w:pPr>
      <w:ind w:left="720" w:right="720" w:hanging="360"/>
    </w:pPr>
    <w:rPr/>
  </w:style>
  <w:style w:type="paragraph" w:styleId="Mappadocumento">
    <w:name w:val="Mappa documento"/>
    <w:basedOn w:val="Normal"/>
    <w:pPr>
      <w:shd w:fill="000080" w:val="clear"/>
    </w:pPr>
    <w:rPr>
      <w:rFonts w:ascii="Tahoma" w:hAnsi="Tahoma" w:cs="Tahoma"/>
    </w:rPr>
  </w:style>
  <w:style w:type="paragraph" w:styleId="Intestazionemessaggio">
    <w:name w:val="Intestazione messaggio"/>
    <w:basedOn w:val="Normal"/>
    <w:pPr>
      <w:pBdr>
        <w:top w:val="single" w:sz="6" w:space="1" w:color="000001"/>
        <w:left w:val="single" w:sz="6" w:space="1" w:color="000001"/>
        <w:bottom w:val="single" w:sz="6" w:space="1" w:color="000001"/>
        <w:right w:val="single" w:sz="6" w:space="1" w:color="000001"/>
      </w:pBdr>
      <w:shd w:fill="CCCCCC" w:val="clear"/>
      <w:ind w:left="1134" w:right="0" w:hanging="1134"/>
    </w:pPr>
    <w:rPr>
      <w:rFonts w:ascii="Arial" w:hAnsi="Arial" w:cs="Arial"/>
      <w:sz w:val="24"/>
    </w:rPr>
  </w:style>
  <w:style w:type="paragraph" w:styleId="Fuzeile">
    <w:name w:val="Fußzeile"/>
    <w:basedOn w:val="Normal"/>
    <w:pPr>
      <w:tabs>
        <w:tab w:val="center" w:pos="4819" w:leader="none"/>
        <w:tab w:val="right" w:pos="9638" w:leader="none"/>
      </w:tabs>
    </w:pPr>
    <w:rPr>
      <w:lang w:val="de-DE"/>
    </w:rPr>
  </w:style>
  <w:style w:type="paragraph" w:styleId="Testofumetto">
    <w:name w:val="Testo fumetto"/>
    <w:basedOn w:val="Normal"/>
    <w:pPr/>
    <w:rPr>
      <w:rFonts w:ascii="Tahoma" w:hAnsi="Tahoma" w:cs="Tahoma"/>
      <w:sz w:val="16"/>
      <w:szCs w:val="16"/>
    </w:rPr>
  </w:style>
  <w:style w:type="paragraph" w:styleId="Rientrocorpodeltesto2">
    <w:name w:val="Rientro corpo del testo 2"/>
    <w:basedOn w:val="Normal"/>
    <w:pPr>
      <w:spacing w:lineRule="auto" w:line="480" w:before="0" w:after="120"/>
      <w:ind w:left="283" w:right="0" w:hanging="0"/>
    </w:pPr>
    <w:rPr>
      <w:lang w:val="de-DE"/>
    </w:rPr>
  </w:style>
  <w:style w:type="paragraph" w:styleId="TextkrperEinrckung">
    <w:name w:val="Textkörper Einrückung"/>
    <w:basedOn w:val="Normal"/>
    <w:pPr>
      <w:spacing w:before="0" w:after="120"/>
      <w:ind w:left="283" w:right="0" w:hanging="0"/>
    </w:pPr>
    <w:rPr>
      <w:lang w:val="de-DE"/>
    </w:rPr>
  </w:style>
  <w:style w:type="paragraph" w:styleId="NormaleWeb">
    <w:name w:val="Normale (Web)"/>
    <w:basedOn w:val="Normal"/>
    <w:pPr>
      <w:spacing w:before="100" w:after="100"/>
      <w:jc w:val="left"/>
    </w:pPr>
    <w:rPr>
      <w:rFonts w:ascii="Times New Roman" w:hAnsi="Times New Roman" w:cs="Times New Roman"/>
      <w:sz w:val="24"/>
      <w:szCs w:val="24"/>
    </w:rPr>
  </w:style>
  <w:style w:type="numbering" w:styleId="WW8Num1">
    <w:name w:val="WW8Num1"/>
  </w:style>
  <w:style w:type="numbering" w:styleId="WW8Num2">
    <w:name w:val="WW8Num2"/>
  </w:style>
  <w:style w:type="numbering" w:styleId="WW8Num3">
    <w:name w:val="WW8Num3"/>
  </w:style>
  <w:style w:type="numbering" w:styleId="WW8Num4">
    <w:name w:val="WW8Num4"/>
  </w:style>
  <w:style w:type="numbering" w:styleId="WW8Num5">
    <w:name w:val="WW8Num5"/>
  </w:style>
  <w:style w:type="numbering" w:styleId="WW8Num6">
    <w:name w:val="WW8Num6"/>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16637</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2017-06-26T09:49:00Z</dcterms:created>
  <dc:creator>segreteria</dc:creator>
  <dc:language>de-DE</dc:language>
  <cp:lastModifiedBy>Florian </cp:lastModifiedBy>
  <cp:lastPrinted>2018-06-05T08:28:17Z</cp:lastPrinted>
  <dcterms:modified xsi:type="dcterms:W3CDTF">2018-06-01T11:03:34Z</dcterms:modified>
  <cp:revision>54</cp:revision>
</cp:coreProperties>
</file>