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footer4.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tabs>
          <w:tab w:val="left" w:pos="0" w:leader="none"/>
        </w:tabs>
        <w:spacing w:lineRule="auto" w:line="240" w:before="0" w:after="0"/>
        <w:ind w:left="0" w:right="-2" w:hanging="0"/>
        <w:rPr>
          <w:rFonts w:cs="Tahoma" w:ascii="Tahoma" w:hAnsi="Tahoma"/>
          <w:sz w:val="24"/>
          <w:szCs w:val="24"/>
          <w:lang w:val="de-DE" w:eastAsia="zh-CN" w:bidi="ar-SA"/>
        </w:rPr>
      </w:pPr>
      <w:r>
        <w:rPr>
          <w:rFonts w:cs="Tahoma" w:ascii="Tahoma" w:hAnsi="Tahoma"/>
          <w:sz w:val="24"/>
          <w:szCs w:val="24"/>
          <w:lang w:val="de-DE" w:eastAsia="zh-CN" w:bidi="ar-SA"/>
        </w:rPr>
        <w:t>_____________________________________</w:t>
      </w:r>
    </w:p>
    <w:p>
      <w:pPr>
        <w:pStyle w:val="Normal"/>
        <w:tabs>
          <w:tab w:val="left" w:pos="0" w:leader="none"/>
        </w:tabs>
        <w:spacing w:lineRule="auto" w:line="240" w:before="0" w:after="0"/>
        <w:ind w:left="0" w:right="-2" w:hanging="0"/>
        <w:rPr>
          <w:rFonts w:cs="Tahoma" w:ascii="Tahoma" w:hAnsi="Tahoma"/>
          <w:sz w:val="24"/>
          <w:szCs w:val="24"/>
          <w:lang w:val="de-DE" w:eastAsia="zh-CN" w:bidi="ar-SA"/>
        </w:rPr>
      </w:pPr>
      <w:r>
        <w:rPr>
          <w:rFonts w:cs="Tahoma" w:ascii="Tahoma" w:hAnsi="Tahoma"/>
          <w:sz w:val="24"/>
          <w:szCs w:val="24"/>
          <w:lang w:val="de-DE" w:eastAsia="zh-CN" w:bidi="ar-SA"/>
        </w:rPr>
        <w:t>_____________________________________</w:t>
      </w:r>
    </w:p>
    <w:p>
      <w:pPr>
        <w:pStyle w:val="Normal"/>
        <w:tabs>
          <w:tab w:val="left" w:pos="0" w:leader="none"/>
        </w:tabs>
        <w:spacing w:lineRule="auto" w:line="240" w:before="0" w:after="0"/>
        <w:ind w:left="0" w:right="-2" w:hanging="0"/>
        <w:rPr>
          <w:rFonts w:cs="Tahoma" w:ascii="Tahoma" w:hAnsi="Tahoma"/>
          <w:sz w:val="24"/>
          <w:szCs w:val="24"/>
          <w:lang w:val="de-DE" w:eastAsia="zh-CN" w:bidi="ar-SA"/>
        </w:rPr>
      </w:pPr>
      <w:r>
        <w:rPr>
          <w:rFonts w:cs="Tahoma" w:ascii="Tahoma" w:hAnsi="Tahoma"/>
          <w:sz w:val="24"/>
          <w:szCs w:val="24"/>
          <w:lang w:val="de-DE" w:eastAsia="zh-CN" w:bidi="ar-SA"/>
        </w:rPr>
        <w:t>_____________________________________</w:t>
      </w:r>
    </w:p>
    <w:p>
      <w:pPr>
        <w:pStyle w:val="Normal"/>
        <w:tabs>
          <w:tab w:val="left" w:pos="0" w:leader="none"/>
        </w:tabs>
        <w:spacing w:lineRule="auto" w:line="240" w:before="0" w:after="0"/>
        <w:ind w:left="0" w:right="-2" w:hanging="0"/>
        <w:rPr>
          <w:rFonts w:cs="Tahoma" w:ascii="Tahoma" w:hAnsi="Tahoma"/>
          <w:sz w:val="20"/>
          <w:szCs w:val="20"/>
          <w:lang w:val="de-DE" w:eastAsia="zh-CN" w:bidi="ar-SA"/>
        </w:rPr>
      </w:pPr>
      <w:r>
        <w:rPr>
          <w:rFonts w:cs="Tahoma" w:ascii="Tahoma" w:hAnsi="Tahoma"/>
          <w:sz w:val="20"/>
          <w:szCs w:val="20"/>
          <w:lang w:val="de-DE" w:eastAsia="zh-CN" w:bidi="ar-SA"/>
        </w:rPr>
      </w:r>
    </w:p>
    <w:p>
      <w:pPr>
        <w:pStyle w:val="Normal"/>
        <w:tabs>
          <w:tab w:val="left" w:pos="0" w:leader="none"/>
        </w:tabs>
        <w:spacing w:lineRule="auto" w:line="240" w:before="0" w:after="0"/>
        <w:ind w:left="0" w:right="-2" w:hanging="0"/>
        <w:rPr>
          <w:rFonts w:cs="Tahoma" w:ascii="Tahoma" w:hAnsi="Tahoma"/>
          <w:sz w:val="20"/>
          <w:szCs w:val="20"/>
          <w:lang w:val="de-DE" w:eastAsia="zh-CN" w:bidi="ar-SA"/>
        </w:rPr>
      </w:pPr>
      <w:r>
        <w:rPr>
          <w:rFonts w:cs="Tahoma" w:ascii="Tahoma" w:hAnsi="Tahoma"/>
          <w:sz w:val="20"/>
          <w:szCs w:val="20"/>
          <w:lang w:val="de-DE" w:eastAsia="zh-CN" w:bidi="ar-SA"/>
        </w:rPr>
      </w:r>
    </w:p>
    <w:p>
      <w:pPr>
        <w:pStyle w:val="Normal"/>
        <w:tabs>
          <w:tab w:val="left" w:pos="0" w:leader="none"/>
        </w:tabs>
        <w:spacing w:lineRule="auto" w:line="240" w:before="0" w:after="0"/>
        <w:ind w:left="0" w:right="-2" w:hanging="0"/>
        <w:jc w:val="right"/>
        <w:rPr>
          <w:rFonts w:cs="Tahoma" w:ascii="Tahoma" w:hAnsi="Tahoma"/>
          <w:sz w:val="20"/>
          <w:szCs w:val="20"/>
          <w:lang w:val="de-DE" w:eastAsia="zh-CN" w:bidi="ar-SA"/>
        </w:rPr>
      </w:pPr>
      <w:r>
        <w:rPr>
          <w:rFonts w:cs="Tahoma" w:ascii="Tahoma" w:hAnsi="Tahoma"/>
          <w:sz w:val="20"/>
          <w:szCs w:val="20"/>
          <w:lang w:val="de-DE" w:eastAsia="zh-CN" w:bidi="ar-SA"/>
        </w:rPr>
        <w:t>_____________________________</w:t>
      </w:r>
    </w:p>
    <w:p>
      <w:pPr>
        <w:pStyle w:val="Normal"/>
        <w:tabs>
          <w:tab w:val="left" w:pos="0" w:leader="none"/>
        </w:tabs>
        <w:spacing w:lineRule="auto" w:line="240" w:before="0" w:after="0"/>
        <w:ind w:left="0" w:right="-2" w:hanging="0"/>
        <w:jc w:val="right"/>
        <w:rPr>
          <w:rFonts w:cs="Tahoma" w:ascii="Tahoma" w:hAnsi="Tahoma"/>
          <w:i/>
          <w:sz w:val="20"/>
          <w:szCs w:val="20"/>
          <w:lang w:val="de-DE" w:eastAsia="zh-CN" w:bidi="ar-SA"/>
        </w:rPr>
      </w:pPr>
      <w:r>
        <w:rPr>
          <w:rFonts w:cs="Tahoma" w:ascii="Tahoma" w:hAnsi="Tahoma"/>
          <w:i/>
          <w:sz w:val="20"/>
          <w:szCs w:val="20"/>
          <w:lang w:val="de-DE" w:eastAsia="zh-CN" w:bidi="ar-SA"/>
        </w:rPr>
        <w:t>(Ort, Datum)</w:t>
      </w:r>
    </w:p>
    <w:p>
      <w:pPr>
        <w:pStyle w:val="Normal"/>
        <w:tabs>
          <w:tab w:val="left" w:pos="1620" w:leader="none"/>
        </w:tabs>
        <w:spacing w:lineRule="auto" w:line="240" w:before="0" w:after="0"/>
        <w:ind w:left="5669" w:right="0" w:hanging="0"/>
        <w:rPr>
          <w:rFonts w:cs="Tahoma" w:ascii="Tahoma" w:hAnsi="Tahoma"/>
          <w:sz w:val="20"/>
          <w:szCs w:val="20"/>
          <w:lang w:val="de-DE" w:eastAsia="zh-CN" w:bidi="ar-SA"/>
        </w:rPr>
      </w:pPr>
      <w:r>
        <w:rPr>
          <w:rFonts w:cs="Tahoma" w:ascii="Tahoma" w:hAnsi="Tahoma"/>
          <w:sz w:val="20"/>
          <w:szCs w:val="20"/>
          <w:lang w:val="de-DE" w:eastAsia="zh-CN" w:bidi="ar-SA"/>
        </w:rPr>
      </w:r>
    </w:p>
    <w:p>
      <w:pPr>
        <w:pStyle w:val="Normal"/>
        <w:tabs>
          <w:tab w:val="left" w:pos="1620" w:leader="none"/>
        </w:tabs>
        <w:spacing w:lineRule="auto" w:line="240" w:before="0" w:after="0"/>
        <w:ind w:left="5669" w:right="0" w:hanging="0"/>
        <w:rPr>
          <w:rFonts w:cs="Tahoma" w:ascii="Tahoma" w:hAnsi="Tahoma"/>
          <w:b/>
          <w:i/>
          <w:sz w:val="20"/>
          <w:szCs w:val="20"/>
          <w:lang w:val="de-DE" w:eastAsia="zh-CN" w:bidi="ar-SA"/>
        </w:rPr>
      </w:pPr>
      <w:r>
        <w:rPr>
          <w:rFonts w:cs="Tahoma" w:ascii="Tahoma" w:hAnsi="Tahoma"/>
          <w:b/>
          <w:i/>
          <w:sz w:val="20"/>
          <w:szCs w:val="20"/>
          <w:lang w:val="de-DE" w:eastAsia="zh-CN" w:bidi="ar-SA"/>
        </w:rPr>
        <w:t>Einschreiben mit Rückantwort/</w:t>
      </w:r>
      <w:r>
        <w:rPr>
          <w:rFonts w:cs="Tahoma" w:ascii="Tahoma" w:hAnsi="Tahoma"/>
          <w:b/>
          <w:i/>
          <w:sz w:val="20"/>
          <w:szCs w:val="20"/>
          <w:lang w:val="de-DE" w:eastAsia="zh-CN" w:bidi="ar-SA"/>
        </w:rPr>
        <w:t>PEC</w:t>
      </w:r>
    </w:p>
    <w:p>
      <w:pPr>
        <w:pStyle w:val="Normal"/>
        <w:tabs>
          <w:tab w:val="left" w:pos="1620" w:leader="none"/>
        </w:tabs>
        <w:spacing w:lineRule="auto" w:line="240" w:before="0" w:after="0"/>
        <w:ind w:left="5669" w:right="0" w:hanging="0"/>
        <w:rPr>
          <w:rFonts w:cs="Tahoma" w:ascii="Tahoma" w:hAnsi="Tahoma"/>
          <w:b/>
          <w:sz w:val="20"/>
          <w:szCs w:val="20"/>
          <w:lang w:val="de-DE" w:eastAsia="zh-CN" w:bidi="ar-SA"/>
        </w:rPr>
      </w:pPr>
      <w:r>
        <w:rPr>
          <w:rFonts w:cs="Tahoma" w:ascii="Tahoma" w:hAnsi="Tahoma"/>
          <w:b/>
          <w:sz w:val="20"/>
          <w:szCs w:val="20"/>
          <w:lang w:val="de-DE" w:eastAsia="zh-CN" w:bidi="ar-SA"/>
        </w:rPr>
        <w:t>Südtiroler Volksbank AG</w:t>
      </w:r>
    </w:p>
    <w:p>
      <w:pPr>
        <w:pStyle w:val="Normal"/>
        <w:tabs>
          <w:tab w:val="left" w:pos="1620" w:leader="none"/>
        </w:tabs>
        <w:spacing w:lineRule="auto" w:line="240" w:before="0" w:after="0"/>
        <w:ind w:left="5669" w:right="0" w:hanging="0"/>
        <w:rPr>
          <w:rFonts w:cs="Tahoma" w:ascii="Tahoma" w:hAnsi="Tahoma"/>
          <w:sz w:val="20"/>
          <w:szCs w:val="20"/>
          <w:lang w:val="de-DE" w:eastAsia="zh-CN" w:bidi="ar-SA"/>
        </w:rPr>
      </w:pPr>
      <w:r>
        <w:rPr>
          <w:rFonts w:cs="Tahoma" w:ascii="Tahoma" w:hAnsi="Tahoma"/>
          <w:sz w:val="20"/>
          <w:szCs w:val="20"/>
          <w:lang w:val="de-DE" w:eastAsia="zh-CN" w:bidi="ar-SA"/>
        </w:rPr>
        <w:t>Schlachthofstr. 55</w:t>
      </w:r>
    </w:p>
    <w:p>
      <w:pPr>
        <w:pStyle w:val="Normal"/>
        <w:tabs>
          <w:tab w:val="left" w:pos="1620" w:leader="none"/>
        </w:tabs>
        <w:spacing w:lineRule="auto" w:line="240" w:before="0" w:after="0"/>
        <w:ind w:left="5669" w:right="0" w:hanging="0"/>
        <w:rPr>
          <w:rFonts w:cs="Tahoma" w:ascii="Tahoma" w:hAnsi="Tahoma"/>
          <w:sz w:val="20"/>
          <w:szCs w:val="20"/>
          <w:lang w:val="de-DE" w:eastAsia="zh-CN" w:bidi="ar-SA"/>
        </w:rPr>
      </w:pPr>
      <w:r>
        <w:rPr>
          <w:rFonts w:cs="Tahoma" w:ascii="Tahoma" w:hAnsi="Tahoma"/>
          <w:sz w:val="20"/>
          <w:szCs w:val="20"/>
          <w:lang w:val="de-DE" w:eastAsia="zh-CN" w:bidi="ar-SA"/>
        </w:rPr>
        <w:t>39100 BOZEN (BZ)</w:t>
      </w:r>
    </w:p>
    <w:p>
      <w:pPr>
        <w:pStyle w:val="Normal"/>
        <w:tabs>
          <w:tab w:val="left" w:pos="1620" w:leader="none"/>
        </w:tabs>
        <w:spacing w:lineRule="auto" w:line="240" w:before="0" w:after="0"/>
        <w:ind w:left="5669" w:right="0" w:hanging="0"/>
        <w:rPr>
          <w:rFonts w:cs="Tahoma" w:ascii="Tahoma" w:hAnsi="Tahoma"/>
          <w:sz w:val="20"/>
          <w:szCs w:val="20"/>
          <w:lang w:val="de-DE" w:eastAsia="zh-CN" w:bidi="ar-SA"/>
        </w:rPr>
      </w:pPr>
      <w:r>
        <w:rPr>
          <w:rFonts w:cs="Tahoma" w:ascii="Tahoma" w:hAnsi="Tahoma"/>
          <w:sz w:val="20"/>
          <w:szCs w:val="20"/>
          <w:lang w:val="de-DE" w:eastAsia="zh-CN" w:bidi="ar-SA"/>
        </w:rPr>
        <w:t>compliance@pec.volksbank.it</w:t>
      </w:r>
    </w:p>
    <w:p>
      <w:pPr>
        <w:pStyle w:val="Normal"/>
        <w:tabs>
          <w:tab w:val="left" w:pos="1620" w:leader="none"/>
        </w:tabs>
        <w:spacing w:lineRule="auto" w:line="240" w:before="0" w:after="0"/>
        <w:ind w:left="5669" w:right="0" w:hanging="0"/>
        <w:rPr>
          <w:rFonts w:cs="Tahoma" w:ascii="Tahoma" w:hAnsi="Tahoma"/>
          <w:sz w:val="20"/>
          <w:szCs w:val="20"/>
          <w:lang w:val="de-DE" w:eastAsia="zh-CN" w:bidi="ar-SA"/>
        </w:rPr>
      </w:pPr>
      <w:r>
        <w:rPr>
          <w:rFonts w:cs="Tahoma" w:ascii="Tahoma" w:hAnsi="Tahoma"/>
          <w:sz w:val="20"/>
          <w:szCs w:val="20"/>
          <w:lang w:val="de-DE" w:eastAsia="zh-CN" w:bidi="ar-SA"/>
        </w:rPr>
      </w:r>
    </w:p>
    <w:p>
      <w:pPr>
        <w:pStyle w:val="Normal"/>
        <w:tabs>
          <w:tab w:val="left" w:pos="1620" w:leader="none"/>
        </w:tabs>
        <w:spacing w:lineRule="auto" w:line="240" w:before="0" w:after="0"/>
        <w:ind w:left="5669" w:right="0" w:hanging="0"/>
        <w:rPr>
          <w:rFonts w:cs="Tahoma" w:ascii="Tahoma" w:hAnsi="Tahoma"/>
          <w:sz w:val="20"/>
          <w:szCs w:val="20"/>
          <w:lang w:val="de-DE" w:eastAsia="zh-CN" w:bidi="ar-SA"/>
        </w:rPr>
      </w:pPr>
      <w:r>
        <w:rPr>
          <w:rFonts w:cs="Tahoma" w:ascii="Tahoma" w:hAnsi="Tahoma"/>
          <w:sz w:val="20"/>
          <w:szCs w:val="20"/>
          <w:lang w:val="de-DE" w:eastAsia="zh-CN" w:bidi="ar-SA"/>
        </w:rPr>
      </w:r>
    </w:p>
    <w:p>
      <w:pPr>
        <w:pStyle w:val="Normal"/>
        <w:tabs>
          <w:tab w:val="left" w:pos="1620" w:leader="none"/>
        </w:tabs>
        <w:spacing w:lineRule="auto" w:line="240" w:before="0" w:after="0"/>
        <w:ind w:left="5669" w:right="0" w:hanging="0"/>
        <w:jc w:val="left"/>
        <w:rPr>
          <w:rFonts w:cs="Tahoma" w:ascii="Tahoma" w:hAnsi="Tahoma"/>
          <w:b/>
          <w:sz w:val="20"/>
          <w:szCs w:val="20"/>
          <w:lang w:val="de-DE" w:eastAsia="zh-CN" w:bidi="ar-SA"/>
        </w:rPr>
      </w:pPr>
      <w:r>
        <w:rPr>
          <w:rFonts w:cs="Tahoma" w:ascii="Tahoma" w:hAnsi="Tahoma"/>
          <w:b/>
          <w:sz w:val="20"/>
          <w:szCs w:val="20"/>
          <w:lang w:val="de-DE" w:eastAsia="zh-CN" w:bidi="ar-SA"/>
        </w:rPr>
        <w:t>z.K.</w:t>
      </w:r>
    </w:p>
    <w:p>
      <w:pPr>
        <w:pStyle w:val="Normal"/>
        <w:tabs>
          <w:tab w:val="left" w:pos="1620" w:leader="none"/>
        </w:tabs>
        <w:spacing w:lineRule="auto" w:line="240" w:before="0" w:after="0"/>
        <w:ind w:left="5669" w:right="0" w:hanging="0"/>
        <w:jc w:val="left"/>
        <w:rPr>
          <w:rFonts w:cs="Tahoma" w:ascii="Tahoma" w:hAnsi="Tahoma"/>
          <w:b/>
          <w:sz w:val="20"/>
          <w:szCs w:val="20"/>
          <w:lang w:val="de-DE" w:eastAsia="zh-CN" w:bidi="ar-SA"/>
        </w:rPr>
      </w:pPr>
      <w:r>
        <w:rPr>
          <w:rFonts w:cs="Tahoma" w:ascii="Tahoma" w:hAnsi="Tahoma"/>
          <w:b/>
          <w:sz w:val="20"/>
          <w:szCs w:val="20"/>
          <w:lang w:val="de-DE" w:eastAsia="zh-CN" w:bidi="ar-SA"/>
        </w:rPr>
        <w:t>Verbraucherzentrale Südtirol</w:t>
      </w:r>
    </w:p>
    <w:p>
      <w:pPr>
        <w:pStyle w:val="Normal"/>
        <w:tabs>
          <w:tab w:val="left" w:pos="1620" w:leader="none"/>
        </w:tabs>
        <w:spacing w:lineRule="auto" w:line="240" w:before="0" w:after="0"/>
        <w:ind w:left="5669" w:right="0" w:hanging="0"/>
        <w:jc w:val="left"/>
        <w:rPr>
          <w:rFonts w:cs="Tahoma" w:ascii="Tahoma" w:hAnsi="Tahoma"/>
          <w:b w:val="false"/>
          <w:bCs w:val="false"/>
          <w:sz w:val="20"/>
          <w:szCs w:val="20"/>
          <w:lang w:val="de-DE" w:eastAsia="zh-CN" w:bidi="ar-SA"/>
        </w:rPr>
      </w:pPr>
      <w:r>
        <w:rPr>
          <w:rFonts w:cs="Tahoma" w:ascii="Tahoma" w:hAnsi="Tahoma"/>
          <w:b w:val="false"/>
          <w:bCs w:val="false"/>
          <w:sz w:val="20"/>
          <w:szCs w:val="20"/>
          <w:lang w:val="de-DE" w:eastAsia="zh-CN" w:bidi="ar-SA"/>
        </w:rPr>
        <w:t>Zwölfmalgreiner Str. 2</w:t>
      </w:r>
    </w:p>
    <w:p>
      <w:pPr>
        <w:pStyle w:val="Normal"/>
        <w:tabs>
          <w:tab w:val="left" w:pos="1620" w:leader="none"/>
        </w:tabs>
        <w:spacing w:lineRule="auto" w:line="240" w:before="0" w:after="0"/>
        <w:ind w:left="5669" w:right="0" w:hanging="0"/>
        <w:jc w:val="left"/>
        <w:rPr>
          <w:rFonts w:cs="Tahoma" w:ascii="Tahoma" w:hAnsi="Tahoma"/>
          <w:b w:val="false"/>
          <w:bCs w:val="false"/>
          <w:sz w:val="20"/>
          <w:szCs w:val="20"/>
          <w:lang w:val="de-DE" w:eastAsia="zh-CN" w:bidi="ar-SA"/>
        </w:rPr>
      </w:pPr>
      <w:r>
        <w:rPr>
          <w:rFonts w:cs="Tahoma" w:ascii="Tahoma" w:hAnsi="Tahoma"/>
          <w:b w:val="false"/>
          <w:bCs w:val="false"/>
          <w:sz w:val="20"/>
          <w:szCs w:val="20"/>
          <w:lang w:val="de-DE" w:eastAsia="zh-CN" w:bidi="ar-SA"/>
        </w:rPr>
        <w:t>39100 BOZEN (BZ)</w:t>
      </w:r>
    </w:p>
    <w:p>
      <w:pPr>
        <w:pStyle w:val="Normal"/>
        <w:tabs>
          <w:tab w:val="left" w:pos="1620" w:leader="none"/>
        </w:tabs>
        <w:spacing w:lineRule="auto" w:line="240" w:before="0" w:after="0"/>
        <w:ind w:left="5669" w:right="0" w:hanging="0"/>
        <w:jc w:val="left"/>
        <w:rPr>
          <w:rFonts w:cs="Tahoma" w:ascii="Tahoma" w:hAnsi="Tahoma"/>
          <w:b/>
          <w:i/>
          <w:sz w:val="20"/>
          <w:szCs w:val="20"/>
          <w:lang w:val="de-DE" w:eastAsia="zh-CN" w:bidi="ar-SA"/>
        </w:rPr>
      </w:pPr>
      <w:r>
        <w:rPr>
          <w:rFonts w:cs="Tahoma" w:ascii="Tahoma" w:hAnsi="Tahoma"/>
          <w:b/>
          <w:i/>
          <w:sz w:val="20"/>
          <w:szCs w:val="20"/>
          <w:lang w:val="de-DE" w:eastAsia="zh-CN" w:bidi="ar-SA"/>
        </w:rPr>
        <w:t>info@consumer.bz.it</w:t>
      </w:r>
    </w:p>
    <w:p>
      <w:pPr>
        <w:pStyle w:val="Normal"/>
        <w:tabs>
          <w:tab w:val="left" w:pos="0" w:leader="none"/>
          <w:tab w:val="left" w:pos="1620" w:leader="none"/>
        </w:tabs>
        <w:spacing w:lineRule="auto" w:line="240" w:before="0" w:after="0"/>
        <w:ind w:left="5669" w:right="0" w:hanging="0"/>
        <w:rPr>
          <w:rFonts w:cs="Tahoma" w:ascii="Tahoma" w:hAnsi="Tahoma"/>
          <w:sz w:val="20"/>
          <w:szCs w:val="20"/>
          <w:lang w:val="de-DE" w:eastAsia="zh-CN" w:bidi="ar-SA"/>
        </w:rPr>
      </w:pPr>
      <w:r>
        <w:rPr>
          <w:rFonts w:cs="Tahoma" w:ascii="Tahoma" w:hAnsi="Tahoma"/>
          <w:sz w:val="20"/>
          <w:szCs w:val="20"/>
          <w:lang w:val="de-DE" w:eastAsia="zh-CN" w:bidi="ar-SA"/>
        </w:rPr>
      </w:r>
    </w:p>
    <w:p>
      <w:pPr>
        <w:pStyle w:val="Normal"/>
        <w:tabs>
          <w:tab w:val="left" w:pos="1620" w:leader="none"/>
        </w:tabs>
        <w:spacing w:lineRule="auto" w:line="240" w:before="0" w:after="0"/>
        <w:ind w:left="5669" w:right="0" w:hanging="0"/>
        <w:rPr>
          <w:rFonts w:cs="Tahoma" w:ascii="Tahoma" w:hAnsi="Tahoma"/>
          <w:sz w:val="20"/>
          <w:szCs w:val="20"/>
          <w:lang w:val="de-DE" w:eastAsia="zh-CN" w:bidi="ar-SA"/>
        </w:rPr>
      </w:pPr>
      <w:r>
        <w:rPr>
          <w:rFonts w:cs="Tahoma" w:ascii="Tahoma" w:hAnsi="Tahoma"/>
          <w:sz w:val="20"/>
          <w:szCs w:val="20"/>
          <w:lang w:val="de-DE" w:eastAsia="zh-CN" w:bidi="ar-SA"/>
        </w:rPr>
      </w:r>
    </w:p>
    <w:p>
      <w:pPr>
        <w:pStyle w:val="Normal"/>
        <w:tabs>
          <w:tab w:val="left" w:pos="0" w:leader="none"/>
          <w:tab w:val="left" w:pos="1620" w:leader="none"/>
        </w:tabs>
        <w:spacing w:lineRule="auto" w:line="240" w:before="0" w:after="0"/>
        <w:rPr>
          <w:rFonts w:cs="Tahoma" w:ascii="Tahoma" w:hAnsi="Tahoma"/>
          <w:sz w:val="20"/>
          <w:szCs w:val="20"/>
          <w:lang w:val="de-DE" w:eastAsia="zh-CN" w:bidi="ar-SA"/>
        </w:rPr>
      </w:pPr>
      <w:r>
        <w:rPr>
          <w:rFonts w:cs="Tahoma" w:ascii="Tahoma" w:hAnsi="Tahoma"/>
          <w:sz w:val="20"/>
          <w:szCs w:val="20"/>
          <w:lang w:val="de-DE" w:eastAsia="zh-CN" w:bidi="ar-SA"/>
        </w:rPr>
      </w:r>
    </w:p>
    <w:p>
      <w:pPr>
        <w:pStyle w:val="Normal"/>
        <w:tabs>
          <w:tab w:val="left" w:pos="0" w:leader="none"/>
          <w:tab w:val="left" w:pos="1620" w:leader="none"/>
        </w:tabs>
        <w:spacing w:lineRule="auto" w:line="240" w:before="0" w:after="0"/>
        <w:ind w:left="0" w:right="-2" w:hanging="0"/>
        <w:rPr>
          <w:rFonts w:cs="Tahoma" w:ascii="Tahoma" w:hAnsi="Tahoma"/>
          <w:b/>
          <w:bCs/>
          <w:sz w:val="20"/>
          <w:szCs w:val="20"/>
          <w:u w:val="none"/>
          <w:lang w:val="de-DE" w:eastAsia="zh-CN" w:bidi="ar-SA"/>
        </w:rPr>
      </w:pPr>
      <w:r>
        <w:rPr>
          <w:rFonts w:cs="Tahoma" w:ascii="Tahoma" w:hAnsi="Tahoma"/>
          <w:b/>
          <w:bCs/>
          <w:sz w:val="20"/>
          <w:szCs w:val="20"/>
          <w:u w:val="none"/>
          <w:lang w:val="de-DE" w:eastAsia="zh-CN" w:bidi="ar-SA"/>
        </w:rPr>
        <w:t>Beschwerde in Bezug auf den Verkauf von Aktien emittiert von der Südtiroler Volksbank; Schadenersatzforderung aufgrund vertraglicher, außervertraglicher und vorvertraglicher Haftung; Unterbrechung jeglicher Verjährungsfristen</w:t>
      </w:r>
    </w:p>
    <w:p>
      <w:pPr>
        <w:pStyle w:val="Normal"/>
        <w:tabs>
          <w:tab w:val="left" w:pos="0" w:leader="none"/>
          <w:tab w:val="left" w:pos="1620" w:leader="none"/>
        </w:tabs>
        <w:spacing w:lineRule="auto" w:line="240" w:before="0" w:after="0"/>
        <w:ind w:left="0" w:right="-2" w:hanging="0"/>
        <w:rPr>
          <w:lang w:val="de-DE" w:eastAsia="zh-CN" w:bidi="ar-SA"/>
        </w:rPr>
      </w:pPr>
      <w:r>
        <w:rPr>
          <w:lang w:val="de-DE" w:eastAsia="zh-CN" w:bidi="ar-SA"/>
        </w:rPr>
      </w:r>
    </w:p>
    <w:p>
      <w:pPr>
        <w:pStyle w:val="Normal"/>
        <w:tabs>
          <w:tab w:val="left" w:pos="0" w:leader="none"/>
        </w:tabs>
        <w:spacing w:lineRule="auto" w:line="240" w:before="0" w:after="0"/>
        <w:ind w:left="0" w:right="-2" w:hanging="0"/>
        <w:rPr>
          <w:rFonts w:cs="Tahoma" w:ascii="Tahoma" w:hAnsi="Tahoma"/>
          <w:sz w:val="20"/>
          <w:szCs w:val="20"/>
          <w:u w:val="single"/>
          <w:lang w:val="de-DE" w:eastAsia="zh-CN" w:bidi="ar-SA"/>
        </w:rPr>
      </w:pPr>
      <w:r>
        <w:rPr>
          <w:rFonts w:cs="Tahoma" w:ascii="Tahoma" w:hAnsi="Tahoma"/>
          <w:sz w:val="20"/>
          <w:szCs w:val="20"/>
          <w:u w:val="single"/>
          <w:lang w:val="de-DE" w:eastAsia="zh-CN" w:bidi="ar-SA"/>
        </w:rPr>
      </w:r>
    </w:p>
    <w:p>
      <w:pPr>
        <w:pStyle w:val="Normal"/>
        <w:tabs>
          <w:tab w:val="left" w:pos="0" w:leader="none"/>
        </w:tabs>
        <w:spacing w:lineRule="auto" w:line="240" w:before="0" w:after="0"/>
        <w:ind w:left="0" w:right="-2" w:hanging="0"/>
        <w:rPr>
          <w:rFonts w:cs="Tahoma" w:ascii="Tahoma" w:hAnsi="Tahoma"/>
          <w:sz w:val="20"/>
          <w:szCs w:val="20"/>
          <w:lang w:val="de-DE" w:eastAsia="zh-CN" w:bidi="ar-SA"/>
        </w:rPr>
      </w:pPr>
      <w:r>
        <w:rPr>
          <w:rFonts w:cs="Tahoma" w:ascii="Tahoma" w:hAnsi="Tahoma"/>
          <w:sz w:val="20"/>
          <w:szCs w:val="20"/>
          <w:lang w:val="de-DE" w:eastAsia="zh-CN" w:bidi="ar-SA"/>
        </w:rPr>
        <w:t>Der/die Unterfertigte ______________________________________________________________</w:t>
      </w:r>
    </w:p>
    <w:p>
      <w:pPr>
        <w:pStyle w:val="Normal"/>
        <w:tabs>
          <w:tab w:val="left" w:pos="0" w:leader="none"/>
        </w:tabs>
        <w:spacing w:lineRule="auto" w:line="240" w:before="0" w:after="0"/>
        <w:rPr>
          <w:rFonts w:cs="Tahoma" w:ascii="Tahoma" w:hAnsi="Tahoma"/>
          <w:sz w:val="20"/>
          <w:szCs w:val="20"/>
          <w:lang w:val="de-DE" w:eastAsia="zh-CN" w:bidi="ar-SA"/>
        </w:rPr>
      </w:pPr>
      <w:r>
        <w:rPr>
          <w:rFonts w:cs="Tahoma" w:ascii="Tahoma" w:hAnsi="Tahoma"/>
          <w:sz w:val="20"/>
          <w:szCs w:val="20"/>
          <w:lang w:val="de-DE" w:eastAsia="zh-CN" w:bidi="ar-SA"/>
        </w:rPr>
        <w:t xml:space="preserve">geboren in __________________________________________________ am ___/___/_____, </w:t>
      </w:r>
    </w:p>
    <w:p>
      <w:pPr>
        <w:pStyle w:val="Normal"/>
        <w:tabs>
          <w:tab w:val="left" w:pos="0" w:leader="none"/>
        </w:tabs>
        <w:spacing w:lineRule="auto" w:line="240" w:before="0" w:after="0"/>
        <w:rPr>
          <w:rFonts w:cs="Tahoma" w:ascii="Tahoma" w:hAnsi="Tahoma"/>
          <w:sz w:val="20"/>
          <w:szCs w:val="20"/>
          <w:lang w:val="de-DE" w:eastAsia="zh-CN" w:bidi="ar-SA"/>
        </w:rPr>
      </w:pPr>
      <w:r>
        <w:rPr>
          <w:rFonts w:cs="Tahoma" w:ascii="Tahoma" w:hAnsi="Tahoma"/>
          <w:sz w:val="20"/>
          <w:szCs w:val="20"/>
          <w:lang w:val="de-DE" w:eastAsia="zh-CN" w:bidi="ar-SA"/>
        </w:rPr>
        <w:t>wohnhaft in ______________________, Straße _____________________________ Nr. ____ ,</w:t>
      </w:r>
    </w:p>
    <w:p>
      <w:pPr>
        <w:pStyle w:val="Normal"/>
        <w:tabs>
          <w:tab w:val="left" w:pos="0" w:leader="none"/>
        </w:tabs>
        <w:spacing w:lineRule="auto" w:line="240" w:before="0" w:after="0"/>
        <w:rPr>
          <w:rFonts w:cs="Tahoma" w:ascii="Tahoma" w:hAnsi="Tahoma"/>
          <w:sz w:val="20"/>
          <w:szCs w:val="20"/>
          <w:lang w:val="de-DE" w:eastAsia="zh-CN" w:bidi="ar-SA"/>
        </w:rPr>
      </w:pPr>
      <w:r>
        <w:rPr>
          <w:rFonts w:cs="Tahoma" w:ascii="Tahoma" w:hAnsi="Tahoma"/>
          <w:sz w:val="20"/>
          <w:szCs w:val="20"/>
          <w:lang w:val="de-DE" w:eastAsia="zh-CN" w:bidi="ar-SA"/>
        </w:rPr>
        <w:t>übermittelt in Bezug auf den Kauf der bankeigenen Aktien emittiert von der Südtiroler Volksbank folgende Ausführungen und Beschwerde.</w:t>
      </w:r>
    </w:p>
    <w:p>
      <w:pPr>
        <w:pStyle w:val="Normal"/>
        <w:tabs>
          <w:tab w:val="left" w:pos="0" w:leader="none"/>
        </w:tabs>
        <w:spacing w:lineRule="auto" w:line="240" w:before="0" w:after="0"/>
        <w:rPr>
          <w:rFonts w:cs="Tahoma" w:ascii="Tahoma" w:hAnsi="Tahoma"/>
          <w:sz w:val="20"/>
          <w:szCs w:val="20"/>
          <w:lang w:val="de-DE" w:eastAsia="zh-CN" w:bidi="ar-SA"/>
        </w:rPr>
      </w:pPr>
      <w:r>
        <w:rPr>
          <w:rFonts w:cs="Tahoma" w:ascii="Tahoma" w:hAnsi="Tahoma"/>
          <w:sz w:val="20"/>
          <w:szCs w:val="20"/>
          <w:lang w:val="de-DE" w:eastAsia="zh-CN" w:bidi="ar-SA"/>
        </w:rPr>
        <w:t>Im Zuge des Verkaufs der genannten Aktien, welche als Finanzinstrumente mit hohem Risiko gelten, da sie illiquide weil nicht auf geregelten Märkten quotiert sind, ist die Südtiroler Volksbank nicht korrekt vorgegangen bei der Erfassung der finanziellen Informationen des/der Unterfertigten, bei der Abwägung des Finanzprodukts, und, abhängig davon, bei der Bewertung der Geeignetheit und/oder Angemessenheit des Finanzprodukts im Verhältnis zum Risikoprofil, zu den Anlagezielen sowie zur Kenntnis und zur Erfahrung die dem Unterfertigten in Sachen Finanzprodukte zuordenbar ist.</w:t>
      </w:r>
    </w:p>
    <w:p>
      <w:pPr>
        <w:pStyle w:val="Normal"/>
        <w:tabs>
          <w:tab w:val="left" w:pos="0" w:leader="none"/>
        </w:tabs>
        <w:spacing w:lineRule="auto" w:line="240" w:before="0" w:after="0"/>
        <w:rPr>
          <w:rFonts w:cs="Tahoma" w:ascii="Tahoma" w:hAnsi="Tahoma"/>
          <w:sz w:val="20"/>
          <w:szCs w:val="20"/>
          <w:lang w:val="de-DE" w:eastAsia="zh-CN" w:bidi="ar-SA"/>
        </w:rPr>
      </w:pPr>
      <w:r>
        <w:rPr>
          <w:rFonts w:cs="Tahoma" w:ascii="Tahoma" w:hAnsi="Tahoma"/>
          <w:sz w:val="20"/>
          <w:szCs w:val="20"/>
          <w:lang w:val="de-DE" w:eastAsia="zh-CN" w:bidi="ar-SA"/>
        </w:rPr>
      </w:r>
    </w:p>
    <w:p>
      <w:pPr>
        <w:pStyle w:val="Normal"/>
        <w:tabs>
          <w:tab w:val="left" w:pos="0" w:leader="none"/>
        </w:tabs>
        <w:spacing w:lineRule="auto" w:line="240" w:before="0" w:after="0"/>
        <w:rPr>
          <w:rFonts w:cs="Tahoma" w:ascii="Tahoma" w:hAnsi="Tahoma"/>
          <w:sz w:val="20"/>
          <w:szCs w:val="20"/>
          <w:lang w:val="de-DE" w:eastAsia="zh-CN" w:bidi="ar-SA"/>
        </w:rPr>
      </w:pPr>
      <w:r>
        <w:rPr>
          <w:rFonts w:cs="Tahoma" w:ascii="Tahoma" w:hAnsi="Tahoma"/>
          <w:sz w:val="20"/>
          <w:szCs w:val="20"/>
          <w:lang w:val="de-DE" w:eastAsia="zh-CN" w:bidi="ar-SA"/>
        </w:rPr>
        <w:t>Des weiteren steht im Produktblatt der Aktien, welches ab 2012 verteilt wurde:</w:t>
      </w:r>
    </w:p>
    <w:p>
      <w:pPr>
        <w:pStyle w:val="Normal"/>
        <w:tabs>
          <w:tab w:val="left" w:pos="0" w:leader="none"/>
        </w:tabs>
        <w:spacing w:lineRule="auto" w:line="240" w:before="0" w:after="0"/>
        <w:rPr>
          <w:rFonts w:cs="Tahoma" w:ascii="Tahoma" w:hAnsi="Tahoma"/>
          <w:sz w:val="20"/>
          <w:szCs w:val="20"/>
          <w:lang w:val="de-DE" w:eastAsia="zh-CN" w:bidi="ar-SA"/>
        </w:rPr>
      </w:pPr>
      <w:r>
        <w:rPr>
          <w:rFonts w:cs="Tahoma" w:ascii="Tahoma" w:hAnsi="Tahoma"/>
          <w:sz w:val="20"/>
          <w:szCs w:val="20"/>
          <w:lang w:val="de-DE" w:eastAsia="zh-CN" w:bidi="ar-SA"/>
        </w:rPr>
      </w:r>
    </w:p>
    <w:p>
      <w:pPr>
        <w:pStyle w:val="Normal"/>
        <w:tabs>
          <w:tab w:val="left" w:pos="0" w:leader="none"/>
        </w:tabs>
        <w:spacing w:lineRule="auto" w:line="240" w:before="0" w:after="0"/>
        <w:rPr>
          <w:rFonts w:cs="Tahoma" w:ascii="Tahoma" w:hAnsi="Tahoma"/>
          <w:sz w:val="20"/>
          <w:szCs w:val="20"/>
          <w:lang w:val="de-DE" w:eastAsia="zh-CN" w:bidi="ar-SA"/>
        </w:rPr>
      </w:pPr>
      <w:r>
        <w:rPr>
          <w:rFonts w:cs="Tahoma" w:ascii="Tahoma" w:hAnsi="Tahoma"/>
          <w:sz w:val="20"/>
          <w:szCs w:val="20"/>
          <w:lang w:val="de-DE" w:eastAsia="zh-CN" w:bidi="ar-SA"/>
        </w:rPr>
        <w:t>a) „Das Preislimit darf nicht unter den Ausgabepreis der Aktien sinken“</w:t>
      </w:r>
    </w:p>
    <w:p>
      <w:pPr>
        <w:pStyle w:val="Normal"/>
        <w:tabs>
          <w:tab w:val="left" w:pos="0" w:leader="none"/>
        </w:tabs>
        <w:spacing w:lineRule="auto" w:line="240" w:before="0" w:after="0"/>
        <w:rPr>
          <w:rFonts w:cs="Tahoma" w:ascii="Tahoma" w:hAnsi="Tahoma"/>
          <w:sz w:val="20"/>
          <w:szCs w:val="20"/>
          <w:lang w:val="de-DE" w:eastAsia="zh-CN" w:bidi="ar-SA"/>
        </w:rPr>
      </w:pPr>
      <w:r>
        <w:rPr>
          <w:rFonts w:cs="Tahoma" w:ascii="Tahoma" w:hAnsi="Tahoma"/>
          <w:sz w:val="20"/>
          <w:szCs w:val="20"/>
          <w:lang w:val="de-DE" w:eastAsia="zh-CN" w:bidi="ar-SA"/>
        </w:rPr>
        <w:t>b) „Der Ausgabepreis der Aktien stellt das untere Limit für den Handelspreis für die Aktien auf der obengenannten Plattform dar“</w:t>
      </w:r>
    </w:p>
    <w:p>
      <w:pPr>
        <w:pStyle w:val="Normal"/>
        <w:tabs>
          <w:tab w:val="left" w:pos="0" w:leader="none"/>
        </w:tabs>
        <w:spacing w:lineRule="auto" w:line="240" w:before="0" w:after="0"/>
        <w:rPr>
          <w:rFonts w:cs="Tahoma" w:ascii="Tahoma" w:hAnsi="Tahoma"/>
          <w:sz w:val="20"/>
          <w:szCs w:val="20"/>
          <w:lang w:val="de-DE" w:eastAsia="zh-CN" w:bidi="ar-SA"/>
        </w:rPr>
      </w:pPr>
      <w:r>
        <w:rPr>
          <w:rFonts w:cs="Tahoma" w:ascii="Tahoma" w:hAnsi="Tahoma"/>
          <w:sz w:val="20"/>
          <w:szCs w:val="20"/>
          <w:lang w:val="de-DE" w:eastAsia="zh-CN" w:bidi="ar-SA"/>
        </w:rPr>
      </w:r>
    </w:p>
    <w:p>
      <w:pPr>
        <w:pStyle w:val="Normal"/>
        <w:tabs>
          <w:tab w:val="left" w:pos="0" w:leader="none"/>
        </w:tabs>
        <w:spacing w:lineRule="auto" w:line="240" w:before="0" w:after="0"/>
        <w:rPr>
          <w:rFonts w:cs="Tahoma" w:ascii="Tahoma" w:hAnsi="Tahoma"/>
          <w:sz w:val="20"/>
          <w:szCs w:val="20"/>
          <w:lang w:val="de-DE" w:eastAsia="zh-CN" w:bidi="ar-SA"/>
        </w:rPr>
      </w:pPr>
      <w:r>
        <w:rPr>
          <w:rFonts w:cs="Tahoma" w:ascii="Tahoma" w:hAnsi="Tahoma"/>
          <w:sz w:val="20"/>
          <w:szCs w:val="20"/>
          <w:lang w:val="de-DE" w:eastAsia="zh-CN" w:bidi="ar-SA"/>
        </w:rPr>
        <w:t>Mit diesen Ausführungen gab Ihr Institut dem Sparer im Moment des Kaufs zu verstehen, dass bei Verkauf über die Plattform ICPBI der Preis der Aktien nicht unter den Emissionswert, zu welchem der Sparer die Aktien erworben hatte, hätte fallen können. Somit gab Ihre Bank eine Information an den Sparer weiter, die einerseits dem Kunden versichern sollte, dass seine Geldanlage in Aktien vor eventuellen Abwärts-Kursschwankungen sicher sei; andererseits kann diese Information angesichts des aktuellen Handelswerts der Aktie (ganz zu schweigen von den extremen Schwierigkeiten, die Aktien zu liquidieren) nicht als korrekt und wahrheitsgetreu betrachtet werden, und ist daher jedenfalls irreführend und täuschend. Es sei daran erinnert, dass der 1. Absatz des Art. 27 des Consob-Beschlusses Nr. 16190 vom 29.10.2007 vorgibt: „Alle Informationen, einschließlich der Werbe- und Vertriebsbotschaften, welche die Vermittler an die Kunden richten, müssen korrekt, klar und nicht täuschend sein“. Ihre Bank scheint diese Vorgaben in diesem Kontext jedoch nicht eingehalten zu haben. Es ist daher klar, dass der Sparer durch diese, durchaus nicht zweitrangige Information im Produktblatt der Aktie dazu verleitet wurde, die Aktie zu erwerben.</w:t>
      </w:r>
    </w:p>
    <w:p>
      <w:pPr>
        <w:pStyle w:val="Normal"/>
        <w:shd w:fill="FFFFFF" w:val="clear"/>
        <w:tabs>
          <w:tab w:val="left" w:pos="0" w:leader="none"/>
        </w:tabs>
        <w:spacing w:lineRule="auto" w:line="240" w:before="0" w:after="0"/>
        <w:ind w:left="0" w:right="-2" w:hanging="0"/>
        <w:rPr>
          <w:rFonts w:cs="Tahoma" w:ascii="Tahoma" w:hAnsi="Tahoma"/>
          <w:sz w:val="20"/>
          <w:szCs w:val="20"/>
          <w:lang w:val="de-DE" w:eastAsia="zh-CN" w:bidi="ar-SA"/>
        </w:rPr>
      </w:pPr>
      <w:r>
        <w:rPr>
          <w:rFonts w:cs="Tahoma" w:ascii="Tahoma" w:hAnsi="Tahoma"/>
          <w:sz w:val="20"/>
          <w:szCs w:val="20"/>
          <w:lang w:val="de-DE" w:eastAsia="zh-CN" w:bidi="ar-SA"/>
        </w:rPr>
      </w:r>
    </w:p>
    <w:p>
      <w:pPr>
        <w:pStyle w:val="Normal"/>
        <w:tabs>
          <w:tab w:val="left" w:pos="0" w:leader="none"/>
        </w:tabs>
        <w:spacing w:lineRule="auto" w:line="240" w:before="0" w:after="0"/>
        <w:ind w:left="0" w:right="-2" w:hanging="0"/>
        <w:rPr>
          <w:rFonts w:ascii="Tahoma" w:hAnsi="Tahoma"/>
          <w:sz w:val="20"/>
          <w:szCs w:val="20"/>
          <w:lang w:val="de-DE" w:eastAsia="zh-CN" w:bidi="ar-SA"/>
        </w:rPr>
      </w:pPr>
      <w:r>
        <w:rPr>
          <w:rFonts w:ascii="Tahoma" w:hAnsi="Tahoma"/>
          <w:sz w:val="20"/>
          <w:szCs w:val="20"/>
          <w:lang w:val="de-DE" w:eastAsia="zh-CN" w:bidi="ar-SA"/>
        </w:rPr>
        <w:t>Obiges ausgeführt, legt der/die Unterfertigte</w:t>
      </w:r>
    </w:p>
    <w:p>
      <w:pPr>
        <w:sectPr>
          <w:footerReference w:type="default" r:id="rId2"/>
          <w:footerReference w:type="first" r:id="rId3"/>
          <w:type w:val="nextPage"/>
          <w:pgSz w:w="11906" w:h="16838"/>
          <w:pgMar w:left="1134" w:right="1134" w:header="0" w:top="1134" w:footer="261" w:bottom="1134" w:gutter="0"/>
          <w:pgNumType w:start="1" w:fmt="decimal"/>
          <w:formProt w:val="false"/>
          <w:titlePg/>
          <w:textDirection w:val="lrTb"/>
          <w:docGrid w:type="default" w:linePitch="360" w:charSpace="2047"/>
        </w:sectPr>
        <w:pStyle w:val="Normal"/>
        <w:tabs>
          <w:tab w:val="left" w:pos="0" w:leader="none"/>
        </w:tabs>
        <w:spacing w:lineRule="auto" w:line="240" w:before="0" w:after="0"/>
        <w:ind w:left="0" w:right="-2" w:hanging="0"/>
        <w:jc w:val="center"/>
        <w:rPr>
          <w:rFonts w:ascii="Tahoma" w:hAnsi="Tahoma"/>
          <w:b/>
          <w:bCs/>
          <w:sz w:val="20"/>
          <w:szCs w:val="20"/>
          <w:lang w:val="de-DE" w:eastAsia="zh-CN" w:bidi="ar-SA"/>
        </w:rPr>
      </w:pPr>
      <w:r>
        <w:rPr>
          <w:rFonts w:ascii="Tahoma" w:hAnsi="Tahoma"/>
          <w:b/>
          <w:bCs/>
          <w:sz w:val="20"/>
          <w:szCs w:val="20"/>
          <w:lang w:val="de-DE" w:eastAsia="zh-CN" w:bidi="ar-SA"/>
        </w:rPr>
        <w:t>formelle Beschwerde</w:t>
      </w:r>
    </w:p>
    <w:p>
      <w:pPr>
        <w:pStyle w:val="Normal"/>
        <w:tabs>
          <w:tab w:val="left" w:pos="0" w:leader="none"/>
        </w:tabs>
        <w:spacing w:lineRule="auto" w:line="240" w:before="0" w:after="0"/>
        <w:ind w:left="0" w:right="-2" w:hanging="0"/>
        <w:rPr>
          <w:rFonts w:ascii="Tahoma" w:hAnsi="Tahoma"/>
          <w:sz w:val="20"/>
          <w:szCs w:val="20"/>
          <w:lang w:val="de-DE" w:eastAsia="zh-CN" w:bidi="ar-SA"/>
        </w:rPr>
      </w:pPr>
      <w:r>
        <w:rPr>
          <w:rFonts w:ascii="Tahoma" w:hAnsi="Tahoma"/>
          <w:sz w:val="20"/>
          <w:szCs w:val="20"/>
          <w:lang w:val="de-DE" w:eastAsia="zh-CN" w:bidi="ar-SA"/>
        </w:rPr>
        <w:t>bezüglich des von ihm/ihr getätigten Aktienkaufs ein, und fordert die Bank zur sofortigen Rückerstattung der investierten Summen, zuzüglich der Zinsen ab dem Tag der Zeichnung und eines Schadenersatzes, und erklärt hiermit, die besagten Titel der Bank zurückzugeben.</w:t>
      </w:r>
    </w:p>
    <w:p>
      <w:pPr>
        <w:pStyle w:val="Normal"/>
        <w:tabs>
          <w:tab w:val="left" w:pos="0" w:leader="none"/>
        </w:tabs>
        <w:spacing w:lineRule="auto" w:line="240" w:before="0" w:after="0"/>
        <w:ind w:left="0" w:right="-2" w:hanging="0"/>
        <w:rPr/>
      </w:pPr>
      <w:r>
        <w:rPr/>
      </w:r>
    </w:p>
    <w:p>
      <w:pPr>
        <w:pStyle w:val="Normal"/>
        <w:tabs>
          <w:tab w:val="left" w:pos="0" w:leader="none"/>
        </w:tabs>
        <w:spacing w:lineRule="auto" w:line="240" w:before="0" w:after="0"/>
        <w:ind w:left="0" w:right="-2" w:hanging="0"/>
        <w:rPr>
          <w:rFonts w:ascii="Tahoma" w:hAnsi="Tahoma"/>
          <w:sz w:val="20"/>
          <w:szCs w:val="20"/>
          <w:lang w:val="de-DE" w:eastAsia="zh-CN" w:bidi="ar-SA"/>
        </w:rPr>
      </w:pPr>
      <w:r>
        <w:rPr>
          <w:rFonts w:ascii="Tahoma" w:hAnsi="Tahoma"/>
          <w:sz w:val="20"/>
          <w:szCs w:val="20"/>
          <w:lang w:val="de-DE" w:eastAsia="zh-CN" w:bidi="ar-SA"/>
        </w:rPr>
        <w:t>Außerdem:</w:t>
      </w:r>
    </w:p>
    <w:p>
      <w:pPr>
        <w:pStyle w:val="Normal"/>
        <w:tabs>
          <w:tab w:val="left" w:pos="0" w:leader="none"/>
        </w:tabs>
        <w:spacing w:lineRule="auto" w:line="240" w:before="0" w:after="0"/>
        <w:ind w:left="0" w:right="-2" w:hanging="0"/>
        <w:rPr/>
      </w:pPr>
      <w:r>
        <w:rPr/>
      </w:r>
    </w:p>
    <w:p>
      <w:pPr>
        <w:pStyle w:val="Normal"/>
        <w:tabs>
          <w:tab w:val="left" w:pos="0" w:leader="none"/>
        </w:tabs>
        <w:spacing w:lineRule="auto" w:line="240" w:before="0" w:after="0"/>
        <w:ind w:left="0" w:right="-2" w:hanging="0"/>
        <w:rPr>
          <w:rFonts w:ascii="Tahoma" w:hAnsi="Tahoma"/>
          <w:sz w:val="20"/>
          <w:szCs w:val="20"/>
          <w:lang w:val="de-DE" w:eastAsia="zh-CN" w:bidi="ar-SA"/>
        </w:rPr>
      </w:pPr>
      <w:r>
        <w:rPr>
          <w:rFonts w:eastAsia="Times New Roman" w:cs="Times New Roman" w:ascii="Times New Roman" w:hAnsi="Times New Roman"/>
          <w:sz w:val="32"/>
          <w:szCs w:val="32"/>
          <w:lang w:val="de-DE" w:eastAsia="zh-CN" w:bidi="ar-SA"/>
        </w:rPr>
        <w:t>□</w:t>
      </w:r>
      <w:r>
        <w:rPr>
          <w:rFonts w:eastAsia="Times New Roman" w:cs="Garamond" w:ascii="Tahoma" w:hAnsi="Tahoma"/>
          <w:sz w:val="32"/>
          <w:szCs w:val="32"/>
          <w:lang w:val="de-DE" w:eastAsia="zh-CN" w:bidi="ar-SA"/>
        </w:rPr>
        <w:t xml:space="preserve"> </w:t>
      </w:r>
      <w:r>
        <w:rPr>
          <w:rFonts w:ascii="Tahoma" w:hAnsi="Tahoma"/>
          <w:b/>
          <w:bCs/>
          <w:sz w:val="20"/>
          <w:szCs w:val="20"/>
          <w:lang w:val="de-DE" w:eastAsia="zh-CN" w:bidi="ar-SA"/>
        </w:rPr>
        <w:t>fordert</w:t>
      </w:r>
      <w:r>
        <w:rPr>
          <w:rFonts w:ascii="Tahoma" w:hAnsi="Tahoma"/>
          <w:sz w:val="20"/>
          <w:szCs w:val="20"/>
          <w:lang w:val="de-DE" w:eastAsia="zh-CN" w:bidi="ar-SA"/>
        </w:rPr>
        <w:t xml:space="preserve"> der/die Unterfertigte die Südtiroler Volksbank zur Übermittlung der Kopien der folgenden, vor oder bei Zeichnung der gegenständlichen Aktien ausgehändigten Dokumentation auf, gemäß Art. 7 GvD Nr. 196/2003, Art. 21 Finanzeinheitsgesetz (TUF), GvD Nr. 58/1998, und Art. 119 Bankeneinheitsgesetz (TUB), GvD Nr. 385/1993, sowie Verordnung des Datenschutzbeauftragten, Newsletter vom 12/05/2003:</w:t>
      </w:r>
    </w:p>
    <w:p>
      <w:pPr>
        <w:pStyle w:val="Normal"/>
        <w:tabs>
          <w:tab w:val="left" w:pos="0" w:leader="none"/>
        </w:tabs>
        <w:spacing w:lineRule="auto" w:line="240" w:before="0" w:after="0"/>
        <w:ind w:left="0" w:right="-2" w:hanging="0"/>
        <w:rPr>
          <w:rFonts w:ascii="Tahoma" w:hAnsi="Tahoma"/>
          <w:sz w:val="20"/>
          <w:szCs w:val="20"/>
          <w:lang w:val="de-DE" w:eastAsia="zh-CN" w:bidi="ar-SA"/>
        </w:rPr>
      </w:pPr>
      <w:r>
        <w:rPr>
          <w:rFonts w:ascii="Tahoma" w:hAnsi="Tahoma"/>
          <w:sz w:val="20"/>
          <w:szCs w:val="20"/>
          <w:lang w:val="de-DE" w:eastAsia="zh-CN" w:bidi="ar-SA"/>
        </w:rPr>
      </w:r>
    </w:p>
    <w:p>
      <w:pPr>
        <w:pStyle w:val="Normal"/>
        <w:tabs>
          <w:tab w:val="left" w:pos="0" w:leader="none"/>
        </w:tabs>
        <w:spacing w:lineRule="auto" w:line="240" w:before="0" w:after="0"/>
        <w:ind w:left="0" w:right="-2" w:hanging="0"/>
        <w:rPr>
          <w:rFonts w:ascii="Tahoma" w:hAnsi="Tahoma"/>
          <w:sz w:val="20"/>
          <w:szCs w:val="20"/>
          <w:lang w:val="de-DE" w:eastAsia="zh-CN" w:bidi="ar-SA"/>
        </w:rPr>
      </w:pPr>
      <w:r>
        <w:rPr>
          <w:rFonts w:ascii="Tahoma" w:hAnsi="Tahoma"/>
          <w:sz w:val="20"/>
          <w:szCs w:val="20"/>
          <w:lang w:val="de-DE" w:eastAsia="zh-CN" w:bidi="ar-SA"/>
        </w:rPr>
        <w:t>1. Rahmen-Verträge bezüglich des Handels von Wertpapieren, Eingang und Übermittlung der Aufträge;</w:t>
      </w:r>
    </w:p>
    <w:p>
      <w:pPr>
        <w:pStyle w:val="Normal"/>
        <w:tabs>
          <w:tab w:val="left" w:pos="0" w:leader="none"/>
        </w:tabs>
        <w:spacing w:lineRule="auto" w:line="240" w:before="0" w:after="0"/>
        <w:ind w:left="0" w:right="-2" w:hanging="0"/>
        <w:rPr>
          <w:rFonts w:ascii="Tahoma" w:hAnsi="Tahoma"/>
          <w:sz w:val="20"/>
          <w:szCs w:val="20"/>
          <w:lang w:val="de-DE" w:eastAsia="zh-CN" w:bidi="ar-SA"/>
        </w:rPr>
      </w:pPr>
      <w:r>
        <w:rPr>
          <w:rFonts w:ascii="Tahoma" w:hAnsi="Tahoma"/>
          <w:sz w:val="20"/>
          <w:szCs w:val="20"/>
          <w:lang w:val="de-DE" w:eastAsia="zh-CN" w:bidi="ar-SA"/>
        </w:rPr>
        <w:t>2. Beratungsvertrag vorgesehen von der MiFID Richtlinie;</w:t>
      </w:r>
    </w:p>
    <w:p>
      <w:pPr>
        <w:pStyle w:val="Normal"/>
        <w:tabs>
          <w:tab w:val="left" w:pos="0" w:leader="none"/>
        </w:tabs>
        <w:spacing w:lineRule="auto" w:line="240" w:before="0" w:after="0"/>
        <w:ind w:left="0" w:right="-2" w:hanging="0"/>
        <w:rPr>
          <w:rFonts w:ascii="Tahoma" w:hAnsi="Tahoma"/>
          <w:sz w:val="20"/>
          <w:szCs w:val="20"/>
          <w:lang w:val="de-DE" w:eastAsia="zh-CN" w:bidi="ar-SA"/>
        </w:rPr>
      </w:pPr>
      <w:r>
        <w:rPr>
          <w:rFonts w:ascii="Tahoma" w:hAnsi="Tahoma"/>
          <w:sz w:val="20"/>
          <w:szCs w:val="20"/>
          <w:lang w:val="de-DE" w:eastAsia="zh-CN" w:bidi="ar-SA"/>
        </w:rPr>
        <w:t>3. Dokumente, welche die Anlegerinformationen und die Zuweisung des Risikoprofils zum Inhalt haben, welche vor dem Inkrafttreten der MiFID Richtlinie vorgesehen waren;</w:t>
      </w:r>
    </w:p>
    <w:p>
      <w:pPr>
        <w:pStyle w:val="Normal"/>
        <w:tabs>
          <w:tab w:val="left" w:pos="0" w:leader="none"/>
        </w:tabs>
        <w:spacing w:lineRule="auto" w:line="240" w:before="0" w:after="0"/>
        <w:ind w:left="0" w:right="-2" w:hanging="0"/>
        <w:rPr>
          <w:rFonts w:ascii="Tahoma" w:hAnsi="Tahoma"/>
          <w:sz w:val="20"/>
          <w:szCs w:val="20"/>
          <w:lang w:val="de-DE" w:eastAsia="zh-CN" w:bidi="ar-SA"/>
        </w:rPr>
      </w:pPr>
      <w:r>
        <w:rPr>
          <w:rFonts w:ascii="Tahoma" w:hAnsi="Tahoma"/>
          <w:sz w:val="20"/>
          <w:szCs w:val="20"/>
          <w:lang w:val="de-DE" w:eastAsia="zh-CN" w:bidi="ar-SA"/>
        </w:rPr>
        <w:t>4. Dokument bezüglich der allgemeinen Risiken von Geldanlagen und die entsprechende Empfangsbestätigung, vorgesehen von der MiFID Richtlinie;</w:t>
      </w:r>
    </w:p>
    <w:p>
      <w:pPr>
        <w:pStyle w:val="Normal"/>
        <w:tabs>
          <w:tab w:val="left" w:pos="0" w:leader="none"/>
        </w:tabs>
        <w:spacing w:lineRule="auto" w:line="240" w:before="0" w:after="0"/>
        <w:ind w:left="0" w:right="-2" w:hanging="0"/>
        <w:rPr>
          <w:rFonts w:ascii="Tahoma" w:hAnsi="Tahoma"/>
          <w:sz w:val="20"/>
          <w:szCs w:val="20"/>
          <w:lang w:val="de-DE" w:eastAsia="zh-CN" w:bidi="ar-SA"/>
        </w:rPr>
      </w:pPr>
      <w:r>
        <w:rPr>
          <w:rFonts w:ascii="Tahoma" w:hAnsi="Tahoma"/>
          <w:sz w:val="20"/>
          <w:szCs w:val="20"/>
          <w:lang w:val="de-DE" w:eastAsia="zh-CN" w:bidi="ar-SA"/>
        </w:rPr>
        <w:t>5. Informationsblatt für die Erbringungen von Wertpapierdienstleistungen und die entsprechende Empfangsbestätigung, vorgesehen von der MiFID Richtline;</w:t>
      </w:r>
    </w:p>
    <w:p>
      <w:pPr>
        <w:pStyle w:val="Normal"/>
        <w:tabs>
          <w:tab w:val="left" w:pos="0" w:leader="none"/>
        </w:tabs>
        <w:spacing w:lineRule="auto" w:line="240" w:before="0" w:after="0"/>
        <w:ind w:left="0" w:right="-2" w:hanging="0"/>
        <w:rPr>
          <w:rFonts w:ascii="Tahoma" w:hAnsi="Tahoma"/>
          <w:sz w:val="20"/>
          <w:szCs w:val="20"/>
          <w:lang w:val="de-DE" w:eastAsia="zh-CN" w:bidi="ar-SA"/>
        </w:rPr>
      </w:pPr>
      <w:r>
        <w:rPr>
          <w:rFonts w:ascii="Tahoma" w:hAnsi="Tahoma"/>
          <w:sz w:val="20"/>
          <w:szCs w:val="20"/>
          <w:lang w:val="de-DE" w:eastAsia="zh-CN" w:bidi="ar-SA"/>
        </w:rPr>
        <w:t>6. Auftrag, Zeichnungsformular und Kauf-Verkaufsbestätigung (fissato bollato) für jeden getätigten Erwerb von Aktien emittiert von der Südtiroler Volksbank AG;</w:t>
      </w:r>
    </w:p>
    <w:p>
      <w:pPr>
        <w:pStyle w:val="Normal"/>
        <w:tabs>
          <w:tab w:val="left" w:pos="0" w:leader="none"/>
        </w:tabs>
        <w:spacing w:lineRule="auto" w:line="240" w:before="0" w:after="0"/>
        <w:ind w:left="0" w:right="-2" w:hanging="0"/>
        <w:rPr>
          <w:rFonts w:ascii="Tahoma" w:hAnsi="Tahoma"/>
          <w:sz w:val="20"/>
          <w:szCs w:val="20"/>
          <w:lang w:val="de-DE" w:eastAsia="zh-CN" w:bidi="ar-SA"/>
        </w:rPr>
      </w:pPr>
      <w:r>
        <w:rPr>
          <w:rFonts w:ascii="Tahoma" w:hAnsi="Tahoma"/>
          <w:sz w:val="20"/>
          <w:szCs w:val="20"/>
          <w:lang w:val="de-DE" w:eastAsia="zh-CN" w:bidi="ar-SA"/>
        </w:rPr>
        <w:t>7. Bestätigung über die Aushändigung des Informationsprospektes und der Kurzbeschreibung (nota esplicativa);</w:t>
      </w:r>
    </w:p>
    <w:p>
      <w:pPr>
        <w:pStyle w:val="Normal"/>
        <w:tabs>
          <w:tab w:val="left" w:pos="0" w:leader="none"/>
        </w:tabs>
        <w:spacing w:lineRule="auto" w:line="240" w:before="0" w:after="0"/>
        <w:ind w:left="0" w:right="-2" w:hanging="0"/>
        <w:rPr>
          <w:rFonts w:ascii="Tahoma" w:hAnsi="Tahoma"/>
          <w:sz w:val="20"/>
          <w:szCs w:val="20"/>
          <w:lang w:val="de-DE" w:eastAsia="zh-CN" w:bidi="ar-SA"/>
        </w:rPr>
      </w:pPr>
      <w:r>
        <w:rPr>
          <w:rFonts w:ascii="Tahoma" w:hAnsi="Tahoma"/>
          <w:sz w:val="20"/>
          <w:szCs w:val="20"/>
          <w:lang w:val="de-DE" w:eastAsia="zh-CN" w:bidi="ar-SA"/>
        </w:rPr>
        <w:t>8. Auszüge des Wertpapier-Depots betreffend den Zeitraum von 12 Monaten vor Ankauf der Aktien der Südtiroler Volksbank AG;</w:t>
      </w:r>
    </w:p>
    <w:p>
      <w:pPr>
        <w:pStyle w:val="Normal"/>
        <w:tabs>
          <w:tab w:val="left" w:pos="0" w:leader="none"/>
        </w:tabs>
        <w:spacing w:lineRule="auto" w:line="240" w:before="0" w:after="0"/>
        <w:ind w:left="0" w:right="-2" w:hanging="0"/>
        <w:rPr>
          <w:rFonts w:ascii="Tahoma" w:hAnsi="Tahoma"/>
          <w:sz w:val="20"/>
          <w:szCs w:val="20"/>
          <w:lang w:val="de-DE" w:eastAsia="zh-CN" w:bidi="ar-SA"/>
        </w:rPr>
      </w:pPr>
      <w:r>
        <w:rPr>
          <w:rFonts w:ascii="Tahoma" w:hAnsi="Tahoma"/>
          <w:sz w:val="20"/>
          <w:szCs w:val="20"/>
          <w:lang w:val="de-DE" w:eastAsia="zh-CN" w:bidi="ar-SA"/>
        </w:rPr>
        <w:t>9. die periodische Informationen über den Verlauf der Titel, welche der Unterfertigte nie bekommen hat, mit der Angabe des fair value und des veranschlagten Gegenwerts bei Liquidierung der Aktien für jede Aktienzeichnung oder Erwerb bis heute;</w:t>
      </w:r>
    </w:p>
    <w:p>
      <w:pPr>
        <w:pStyle w:val="Normal"/>
        <w:tabs>
          <w:tab w:val="left" w:pos="0" w:leader="none"/>
        </w:tabs>
        <w:spacing w:lineRule="auto" w:line="240" w:before="0" w:after="0"/>
        <w:ind w:left="0" w:right="-2" w:hanging="0"/>
        <w:rPr>
          <w:rFonts w:ascii="Tahoma" w:hAnsi="Tahoma"/>
          <w:sz w:val="20"/>
          <w:szCs w:val="20"/>
          <w:lang w:val="de-DE" w:eastAsia="zh-CN" w:bidi="ar-SA"/>
        </w:rPr>
      </w:pPr>
      <w:r>
        <w:rPr>
          <w:rFonts w:ascii="Tahoma" w:hAnsi="Tahoma"/>
          <w:sz w:val="20"/>
          <w:szCs w:val="20"/>
          <w:lang w:val="de-DE" w:eastAsia="zh-CN" w:bidi="ar-SA"/>
        </w:rPr>
        <w:t>10. den Kurs der emittierten Aktien der Südtiroler Volksbank AG ab Zeitpunkt des Erwerbs bis heute.</w:t>
      </w:r>
    </w:p>
    <w:p>
      <w:pPr>
        <w:pStyle w:val="Normal"/>
        <w:tabs>
          <w:tab w:val="left" w:pos="0" w:leader="none"/>
        </w:tabs>
        <w:spacing w:lineRule="auto" w:line="240" w:before="0" w:after="0"/>
        <w:ind w:left="0" w:right="-2" w:hanging="0"/>
        <w:rPr>
          <w:rFonts w:ascii="Tahoma" w:hAnsi="Tahoma"/>
          <w:sz w:val="20"/>
          <w:szCs w:val="20"/>
          <w:lang w:val="de-DE" w:eastAsia="zh-CN" w:bidi="ar-SA"/>
        </w:rPr>
      </w:pPr>
      <w:r>
        <w:rPr>
          <w:rFonts w:ascii="Tahoma" w:hAnsi="Tahoma"/>
          <w:sz w:val="20"/>
          <w:szCs w:val="20"/>
          <w:lang w:val="de-DE" w:eastAsia="zh-CN" w:bidi="ar-SA"/>
        </w:rPr>
      </w:r>
    </w:p>
    <w:p>
      <w:pPr>
        <w:pStyle w:val="Normal"/>
        <w:tabs>
          <w:tab w:val="left" w:pos="0" w:leader="none"/>
        </w:tabs>
        <w:spacing w:lineRule="auto" w:line="240" w:before="0" w:after="0"/>
        <w:ind w:left="0" w:right="-2" w:hanging="0"/>
        <w:rPr>
          <w:rFonts w:ascii="Tahoma" w:hAnsi="Tahoma"/>
          <w:sz w:val="20"/>
          <w:szCs w:val="20"/>
          <w:lang w:val="de-DE" w:eastAsia="zh-CN" w:bidi="ar-SA"/>
        </w:rPr>
      </w:pPr>
      <w:r>
        <w:rPr>
          <w:rFonts w:eastAsia="Times New Roman" w:cs="Times New Roman" w:ascii="Times New Roman" w:hAnsi="Times New Roman"/>
          <w:sz w:val="32"/>
          <w:szCs w:val="32"/>
          <w:lang w:val="de-DE" w:eastAsia="zh-CN" w:bidi="ar-SA"/>
        </w:rPr>
        <w:t>□</w:t>
      </w:r>
      <w:r>
        <w:rPr>
          <w:rFonts w:eastAsia="Times New Roman" w:cs="Garamond" w:ascii="Tahoma" w:hAnsi="Tahoma"/>
          <w:sz w:val="32"/>
          <w:szCs w:val="32"/>
          <w:lang w:val="de-DE" w:eastAsia="zh-CN" w:bidi="ar-SA"/>
        </w:rPr>
        <w:t xml:space="preserve"> </w:t>
      </w:r>
      <w:r>
        <w:rPr>
          <w:rFonts w:ascii="Tahoma" w:hAnsi="Tahoma"/>
          <w:b/>
          <w:bCs/>
          <w:sz w:val="20"/>
          <w:szCs w:val="20"/>
          <w:lang w:val="de-DE" w:eastAsia="zh-CN" w:bidi="ar-SA"/>
        </w:rPr>
        <w:t xml:space="preserve">fordert der/die Unterfertigte </w:t>
      </w:r>
      <w:r>
        <w:rPr>
          <w:rFonts w:ascii="Tahoma" w:hAnsi="Tahoma"/>
          <w:b/>
          <w:bCs/>
          <w:sz w:val="20"/>
          <w:szCs w:val="20"/>
          <w:lang w:val="de-DE" w:eastAsia="zh-CN" w:bidi="ar-SA"/>
        </w:rPr>
        <w:t xml:space="preserve">obige Unterlagen </w:t>
      </w:r>
      <w:r>
        <w:rPr>
          <w:rFonts w:ascii="Tahoma" w:hAnsi="Tahoma"/>
          <w:b/>
          <w:bCs/>
          <w:sz w:val="20"/>
          <w:szCs w:val="20"/>
          <w:u w:val="single"/>
          <w:lang w:val="de-DE" w:eastAsia="zh-CN" w:bidi="ar-SA"/>
        </w:rPr>
        <w:t>nicht</w:t>
      </w:r>
      <w:r>
        <w:rPr>
          <w:rFonts w:ascii="Tahoma" w:hAnsi="Tahoma"/>
          <w:b/>
          <w:bCs/>
          <w:sz w:val="20"/>
          <w:szCs w:val="20"/>
          <w:lang w:val="de-DE" w:eastAsia="zh-CN" w:bidi="ar-SA"/>
        </w:rPr>
        <w:t xml:space="preserve"> an</w:t>
      </w:r>
      <w:r>
        <w:rPr>
          <w:rFonts w:ascii="Tahoma" w:hAnsi="Tahoma"/>
          <w:sz w:val="20"/>
          <w:szCs w:val="20"/>
          <w:lang w:val="de-DE" w:eastAsia="zh-CN" w:bidi="ar-SA"/>
        </w:rPr>
        <w:t>, da schon er/sie schon im Besitz derselben ist.</w:t>
      </w:r>
    </w:p>
    <w:p>
      <w:pPr>
        <w:pStyle w:val="Normal"/>
        <w:tabs>
          <w:tab w:val="left" w:pos="0" w:leader="none"/>
        </w:tabs>
        <w:spacing w:lineRule="auto" w:line="240" w:before="0" w:after="0"/>
        <w:ind w:left="0" w:right="-2" w:hanging="0"/>
        <w:rPr>
          <w:rFonts w:ascii="Tahoma" w:hAnsi="Tahoma"/>
          <w:sz w:val="20"/>
          <w:szCs w:val="20"/>
          <w:lang w:val="de-DE" w:eastAsia="zh-CN" w:bidi="ar-SA"/>
        </w:rPr>
      </w:pPr>
      <w:r>
        <w:rPr>
          <w:rFonts w:ascii="Tahoma" w:hAnsi="Tahoma"/>
          <w:sz w:val="20"/>
          <w:szCs w:val="20"/>
          <w:lang w:val="de-DE" w:eastAsia="zh-CN" w:bidi="ar-SA"/>
        </w:rPr>
      </w:r>
    </w:p>
    <w:p>
      <w:pPr>
        <w:pStyle w:val="Normal"/>
        <w:tabs>
          <w:tab w:val="left" w:pos="0" w:leader="none"/>
        </w:tabs>
        <w:spacing w:lineRule="auto" w:line="240" w:before="0" w:after="0"/>
        <w:ind w:left="0" w:right="-2" w:hanging="0"/>
        <w:rPr>
          <w:rFonts w:ascii="Tahoma" w:hAnsi="Tahoma"/>
          <w:sz w:val="20"/>
          <w:szCs w:val="20"/>
          <w:lang w:val="de-DE" w:eastAsia="zh-CN" w:bidi="ar-SA"/>
        </w:rPr>
      </w:pPr>
      <w:r>
        <w:rPr>
          <w:rFonts w:ascii="Tahoma" w:hAnsi="Tahoma"/>
          <w:sz w:val="20"/>
          <w:szCs w:val="20"/>
          <w:lang w:val="de-DE" w:eastAsia="zh-CN" w:bidi="ar-SA"/>
        </w:rPr>
        <w:t xml:space="preserve">In Erwartung einer Antwort auf die vorliegende Beanstandung und der Zusendung der angeforderten Dokumente, behält sich der/die Unterfertigte vor, den Rechtsweg zu beschreiten, um seine Rechte und Interessen bestmöglich zu wahren und zu schützen. </w:t>
      </w:r>
    </w:p>
    <w:p>
      <w:pPr>
        <w:pStyle w:val="Normal"/>
        <w:tabs>
          <w:tab w:val="left" w:pos="0" w:leader="none"/>
        </w:tabs>
        <w:spacing w:lineRule="auto" w:line="240" w:before="0" w:after="0"/>
        <w:ind w:left="0" w:right="-2" w:hanging="0"/>
        <w:rPr>
          <w:rFonts w:ascii="Tahoma" w:hAnsi="Tahoma"/>
          <w:sz w:val="20"/>
          <w:szCs w:val="20"/>
          <w:lang w:val="de-DE" w:eastAsia="zh-CN" w:bidi="ar-SA"/>
        </w:rPr>
      </w:pPr>
      <w:r>
        <w:rPr>
          <w:rFonts w:ascii="Tahoma" w:hAnsi="Tahoma"/>
          <w:sz w:val="20"/>
          <w:szCs w:val="20"/>
          <w:lang w:val="de-DE" w:eastAsia="zh-CN" w:bidi="ar-SA"/>
        </w:rPr>
        <w:t xml:space="preserve">Die vorliegende Beschwerde versteht sich in jeder rechtlichen Hinsicht als gültige und rechtzeitige Inverzugsetzung, und gleichzeitig als Unterbrechung einer jeden möglichen Verjährungsfrist, insbesondere, aber nicht ausschließlich, bezogen auf Klagen auf Nichtigkeit, Annullierung, Auflösung und Schadensersatz, in jeder Weise rückführbar auf den genannten Ankauf, sowie in Bezug auf die zehnjährige Aufbewahrungsfrist der Vertragsdokumentation. </w:t>
      </w:r>
    </w:p>
    <w:p>
      <w:pPr>
        <w:pStyle w:val="Normal"/>
        <w:tabs>
          <w:tab w:val="left" w:pos="0" w:leader="none"/>
        </w:tabs>
        <w:spacing w:lineRule="auto" w:line="240" w:before="0" w:after="0"/>
        <w:ind w:left="0" w:right="-2" w:hanging="0"/>
        <w:rPr/>
      </w:pPr>
      <w:r>
        <w:rPr/>
      </w:r>
    </w:p>
    <w:p>
      <w:pPr>
        <w:pStyle w:val="Normal"/>
        <w:tabs>
          <w:tab w:val="left" w:pos="0" w:leader="none"/>
        </w:tabs>
        <w:spacing w:lineRule="auto" w:line="240" w:before="0" w:after="0"/>
        <w:ind w:left="0" w:right="-2" w:hanging="0"/>
        <w:rPr>
          <w:rFonts w:ascii="Tahoma" w:hAnsi="Tahoma"/>
          <w:sz w:val="20"/>
          <w:szCs w:val="20"/>
          <w:lang w:val="de-DE" w:eastAsia="zh-CN" w:bidi="ar-SA"/>
        </w:rPr>
      </w:pPr>
      <w:r>
        <w:rPr>
          <w:rFonts w:ascii="Tahoma" w:hAnsi="Tahoma"/>
          <w:sz w:val="20"/>
          <w:szCs w:val="20"/>
          <w:lang w:val="de-DE" w:eastAsia="zh-CN" w:bidi="ar-SA"/>
        </w:rPr>
        <w:t>Mit freundlichen Grüßen</w:t>
      </w:r>
    </w:p>
    <w:p>
      <w:pPr>
        <w:pStyle w:val="Normal"/>
        <w:tabs>
          <w:tab w:val="left" w:pos="0" w:leader="none"/>
        </w:tabs>
        <w:spacing w:lineRule="auto" w:line="240" w:before="0" w:after="0"/>
        <w:ind w:left="0" w:right="-2" w:hanging="0"/>
        <w:rPr>
          <w:rFonts w:cs="Tahoma" w:ascii="Tahoma" w:hAnsi="Tahoma"/>
          <w:sz w:val="20"/>
          <w:szCs w:val="20"/>
          <w:lang w:val="de-DE" w:eastAsia="zh-CN" w:bidi="ar-SA"/>
        </w:rPr>
      </w:pPr>
      <w:r>
        <w:rPr>
          <w:rFonts w:cs="Tahoma" w:ascii="Tahoma" w:hAnsi="Tahoma"/>
          <w:sz w:val="20"/>
          <w:szCs w:val="20"/>
          <w:lang w:val="de-DE" w:eastAsia="zh-CN" w:bidi="ar-SA"/>
        </w:rPr>
      </w:r>
    </w:p>
    <w:p>
      <w:pPr>
        <w:pStyle w:val="Normal"/>
        <w:tabs>
          <w:tab w:val="left" w:pos="0" w:leader="none"/>
        </w:tabs>
        <w:spacing w:lineRule="auto" w:line="240" w:before="0" w:after="0"/>
        <w:ind w:left="0" w:right="0" w:firstLine="284"/>
        <w:jc w:val="right"/>
        <w:rPr>
          <w:rFonts w:eastAsia="Tahoma" w:cs="Tahoma" w:ascii="Tahoma" w:hAnsi="Tahoma"/>
          <w:i/>
          <w:sz w:val="20"/>
          <w:szCs w:val="20"/>
          <w:lang w:val="de-DE" w:eastAsia="zh-CN" w:bidi="ar-SA"/>
        </w:rPr>
      </w:pPr>
      <w:r>
        <w:rPr>
          <w:rFonts w:eastAsia="Tahoma" w:cs="Tahoma" w:ascii="Tahoma" w:hAnsi="Tahoma"/>
          <w:i/>
          <w:sz w:val="20"/>
          <w:szCs w:val="20"/>
          <w:lang w:val="de-DE" w:eastAsia="zh-CN" w:bidi="ar-SA"/>
        </w:rPr>
        <w:t xml:space="preserve">                                                   </w:t>
      </w:r>
    </w:p>
    <w:p>
      <w:pPr>
        <w:pStyle w:val="Normal"/>
        <w:tabs>
          <w:tab w:val="left" w:pos="0" w:leader="none"/>
        </w:tabs>
        <w:spacing w:lineRule="auto" w:line="240" w:before="0" w:after="0"/>
        <w:ind w:left="0" w:right="0" w:firstLine="284"/>
        <w:jc w:val="right"/>
        <w:rPr>
          <w:rFonts w:cs="Tahoma" w:ascii="Tahoma" w:hAnsi="Tahoma"/>
          <w:b/>
          <w:i/>
          <w:sz w:val="20"/>
          <w:szCs w:val="20"/>
          <w:lang w:val="de-DE" w:eastAsia="zh-CN" w:bidi="ar-SA"/>
        </w:rPr>
      </w:pPr>
      <w:r>
        <w:rPr>
          <w:rFonts w:cs="Tahoma" w:ascii="Tahoma" w:hAnsi="Tahoma"/>
          <w:b/>
          <w:sz w:val="20"/>
          <w:szCs w:val="20"/>
          <w:lang w:val="de-DE" w:eastAsia="zh-CN" w:bidi="ar-SA"/>
        </w:rPr>
        <w:t>_____________________________</w:t>
      </w:r>
      <w:r>
        <w:rPr>
          <w:rFonts w:eastAsia="Garamond" w:cs="Tahoma" w:ascii="Tahoma" w:hAnsi="Tahoma"/>
          <w:b/>
          <w:i/>
          <w:sz w:val="20"/>
          <w:szCs w:val="20"/>
          <w:lang w:val="de-DE" w:eastAsia="zh-CN" w:bidi="ar-SA"/>
        </w:rPr>
        <w:t xml:space="preserve">                                                                                                           </w:t>
      </w:r>
      <w:r>
        <w:rPr>
          <w:rFonts w:cs="Tahoma" w:ascii="Tahoma" w:hAnsi="Tahoma"/>
          <w:b/>
          <w:i/>
          <w:sz w:val="20"/>
          <w:szCs w:val="20"/>
          <w:lang w:val="de-DE" w:eastAsia="zh-CN" w:bidi="ar-SA"/>
        </w:rPr>
        <w:t>(Unterschrift)</w:t>
      </w:r>
    </w:p>
    <w:sectPr>
      <w:footerReference w:type="default" r:id="rId4"/>
      <w:footerReference w:type="first" r:id="rId5"/>
      <w:type w:val="nextPage"/>
      <w:pgSz w:w="11906" w:h="16838"/>
      <w:pgMar w:left="1134" w:right="1134" w:header="0" w:top="1134" w:footer="261" w:bottom="1134"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Droid Sans">
    <w:charset w:val="01"/>
    <w:family w:val="swiss"/>
    <w:pitch w:val="default"/>
  </w:font>
  <w:font w:name="Garamond">
    <w:charset w:val="01"/>
    <w:family w:val="swiss"/>
    <w:pitch w:val="default"/>
  </w:font>
  <w:font w:name="Bookman Old Style">
    <w:charset w:val="01"/>
    <w:family w:val="swiss"/>
    <w:pitch w:val="default"/>
  </w:font>
  <w:font w:name="Wingdings">
    <w:charset w:val="01"/>
    <w:family w:val="swiss"/>
    <w:pitch w:val="default"/>
  </w:font>
  <w:font w:name="Tahoma">
    <w:charset w:val="01"/>
    <w:family w:val="swiss"/>
    <w:pitch w:val="default"/>
  </w:font>
  <w:font w:name="Symbol">
    <w:charset w:val="01"/>
    <w:family w:val="swiss"/>
    <w:pitch w:val="default"/>
  </w:font>
  <w:font w:name="Times New Roman">
    <w:charset w:val="01"/>
    <w:family w:val="swiss"/>
    <w:pitch w:val="default"/>
  </w:font>
  <w:font w:name="Courier New">
    <w:charset w:val="01"/>
    <w:family w:val="swiss"/>
    <w:pitch w:val="default"/>
  </w:font>
  <w:font w:name="Liberation Sans">
    <w:altName w:val="Arial"/>
    <w:charset w:val="01"/>
    <w:family w:val="swiss"/>
    <w:pitch w:val="default"/>
  </w:font>
  <w:font w:name="Arial">
    <w:charset w:val="01"/>
    <w:family w:val="swiss"/>
    <w:pitch w:val="default"/>
  </w:font>
  <w:font w:name="Liberation Mono">
    <w:altName w:val="Courier New"/>
    <w:charset w:val="01"/>
    <w:family w:val="swiss"/>
    <w:pitch w:val="default"/>
  </w:font>
  <w:font w:name="Tahoma">
    <w:charset w:val="00"/>
    <w:family w:val="swiss"/>
    <w:pitch w:val="variable"/>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uzeile"/>
      <w:jc w:val="center"/>
      <w:rPr/>
    </w:pPr>
    <w:r>
      <w:rPr/>
      <w:fldChar w:fldCharType="begin"/>
    </w:r>
    <w:r>
      <w:instrText> PAGE </w:instrText>
    </w:r>
    <w:r>
      <w:fldChar w:fldCharType="separate"/>
    </w:r>
    <w:r>
      <w:t>3</w:t>
    </w:r>
    <w:r>
      <w:fldChar w:fldCharType="end"/>
    </w:r>
  </w:p>
  <w:p>
    <w:pPr>
      <w:pStyle w:val="Normal"/>
      <w:ind w:left="0" w:right="360" w:hanging="0"/>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Indirizzomittente1"/>
      <w:spacing w:before="0" w:after="120"/>
      <w:ind w:left="-567" w:right="-711" w:hanging="0"/>
      <w:rPr>
        <w:b/>
        <w:caps w:val="false"/>
        <w:smallCaps w:val="false"/>
        <w:sz w:val="16"/>
        <w:szCs w:val="16"/>
      </w:rPr>
    </w:pPr>
    <w:r>
      <w:rPr>
        <w:b/>
        <w:caps w:val="false"/>
        <w:smallCaps w:val="false"/>
        <w:sz w:val="16"/>
        <w:szCs w:val="16"/>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uzeile"/>
      <w:jc w:val="center"/>
      <w:rPr/>
    </w:pPr>
    <w:r>
      <w:rPr/>
      <w:fldChar w:fldCharType="begin"/>
    </w:r>
    <w:r>
      <w:instrText> PAGE </w:instrText>
    </w:r>
    <w:r>
      <w:fldChar w:fldCharType="separate"/>
    </w:r>
    <w:r>
      <w:t>3</w:t>
    </w:r>
    <w:r>
      <w:fldChar w:fldCharType="end"/>
    </w:r>
  </w:p>
  <w:p>
    <w:pPr>
      <w:pStyle w:val="Normal"/>
      <w:ind w:left="0" w:right="360" w:hanging="0"/>
      <w:jc w:val="cen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uzeile"/>
      <w:jc w:val="center"/>
      <w:rPr/>
    </w:pPr>
    <w:r>
      <w:rPr/>
      <w:fldChar w:fldCharType="begin"/>
    </w:r>
    <w:r>
      <w:instrText> PAGE </w:instrText>
    </w:r>
    <w:r>
      <w:fldChar w:fldCharType="separate"/>
    </w:r>
    <w:r>
      <w:t>2</w:t>
    </w:r>
    <w:r>
      <w:fldChar w:fldCharType="end"/>
    </w:r>
  </w:p>
  <w:p>
    <w:pPr>
      <w:pStyle w:val="Normal"/>
      <w:ind w:left="0" w:right="360" w:hanging="0"/>
      <w:jc w:val="center"/>
      <w:rPr/>
    </w:pPr>
    <w:r>
      <w:rPr/>
    </w:r>
  </w:p>
</w:ftr>
</file>

<file path=word/settings.xml><?xml version="1.0" encoding="utf-8"?>
<w:settings xmlns:w="http://schemas.openxmlformats.org/wordprocessingml/2006/main">
  <w:zoom w:percent="120"/>
  <w:defaultTabStop w:val="720"/>
</w:settings>
</file>

<file path=word/styles.xml><?xml version="1.0" encoding="utf-8"?>
<w:styles xmlns:w="http://schemas.openxmlformats.org/wordprocessingml/2006/main">
  <w:docDefaults>
    <w:rPrDefault>
      <w:rPr>
        <w:rFonts w:ascii="Droid Sans" w:hAnsi="Droid Sans" w:eastAsia="Droid Sans Fallback" w:cs="FreeSans"/>
        <w:sz w:val="24"/>
        <w:szCs w:val="24"/>
        <w:lang w:val="de-DE" w:eastAsia="zh-CN" w:bidi="hi-IN"/>
      </w:rPr>
    </w:rPrDefault>
    <w:pPrDefault>
      <w:pPr/>
    </w:pPrDefault>
  </w:docDefaults>
  <w:style w:type="paragraph" w:styleId="Normal">
    <w:name w:val="Normal"/>
    <w:pPr>
      <w:widowControl/>
      <w:suppressAutoHyphens w:val="true"/>
      <w:overflowPunct w:val="false"/>
      <w:bidi w:val="0"/>
      <w:jc w:val="both"/>
    </w:pPr>
    <w:rPr>
      <w:rFonts w:ascii="Garamond" w:hAnsi="Garamond" w:eastAsia="Times New Roman" w:cs="Garamond"/>
      <w:color w:val="00000A"/>
      <w:sz w:val="20"/>
      <w:szCs w:val="20"/>
      <w:lang w:val="it-IT" w:eastAsia="zh-CN" w:bidi="ar-SA"/>
    </w:rPr>
  </w:style>
  <w:style w:type="paragraph" w:styleId="Berschrift1">
    <w:name w:val="Überschrift 1"/>
    <w:basedOn w:val="Berschrift"/>
    <w:pPr>
      <w:widowControl w:val="false"/>
      <w:suppressAutoHyphens w:val="true"/>
      <w:bidi w:val="0"/>
      <w:spacing w:before="0" w:after="180"/>
      <w:jc w:val="center"/>
      <w:outlineLvl w:val="0"/>
    </w:pPr>
    <w:rPr>
      <w:rFonts w:ascii="Droid Sans" w:hAnsi="Droid Sans" w:eastAsia="Droid Sans Fallback" w:cs="FreeSans"/>
      <w:smallCaps/>
      <w:color w:val="00000A"/>
      <w:spacing w:val="20"/>
      <w:sz w:val="21"/>
      <w:szCs w:val="24"/>
      <w:lang w:val="de-DE" w:eastAsia="zh-CN" w:bidi="hi-IN"/>
    </w:rPr>
  </w:style>
  <w:style w:type="paragraph" w:styleId="Berschrift2">
    <w:name w:val="Überschrift 2"/>
    <w:basedOn w:val="Berschrift"/>
    <w:pPr>
      <w:widowControl w:val="false"/>
      <w:suppressAutoHyphens w:val="true"/>
      <w:bidi w:val="0"/>
      <w:spacing w:before="0" w:after="170"/>
      <w:jc w:val="left"/>
      <w:outlineLvl w:val="1"/>
    </w:pPr>
    <w:rPr>
      <w:rFonts w:ascii="Droid Sans" w:hAnsi="Droid Sans" w:eastAsia="Droid Sans Fallback" w:cs="FreeSans"/>
      <w:caps/>
      <w:color w:val="00000A"/>
      <w:sz w:val="21"/>
      <w:szCs w:val="24"/>
      <w:lang w:val="de-DE" w:eastAsia="zh-CN" w:bidi="hi-IN"/>
    </w:rPr>
  </w:style>
  <w:style w:type="paragraph" w:styleId="Berschrift3">
    <w:name w:val="Überschrift 3"/>
    <w:basedOn w:val="Berschrift"/>
    <w:pPr>
      <w:widowControl w:val="false"/>
      <w:suppressAutoHyphens w:val="true"/>
      <w:bidi w:val="0"/>
      <w:spacing w:before="0" w:after="240"/>
      <w:jc w:val="left"/>
      <w:outlineLvl w:val="2"/>
    </w:pPr>
    <w:rPr>
      <w:rFonts w:ascii="Droid Sans" w:hAnsi="Droid Sans" w:eastAsia="Droid Sans Fallback" w:cs="FreeSans"/>
      <w:i/>
      <w:color w:val="00000A"/>
      <w:sz w:val="24"/>
      <w:szCs w:val="24"/>
      <w:lang w:val="de-DE" w:eastAsia="zh-CN" w:bidi="hi-IN"/>
    </w:rPr>
  </w:style>
  <w:style w:type="paragraph" w:styleId="Berschrift4">
    <w:name w:val="Überschrift 4"/>
    <w:basedOn w:val="Berschrift"/>
    <w:pPr>
      <w:widowControl w:val="false"/>
      <w:suppressAutoHyphens w:val="true"/>
      <w:bidi w:val="0"/>
      <w:jc w:val="left"/>
      <w:outlineLvl w:val="3"/>
    </w:pPr>
    <w:rPr>
      <w:rFonts w:ascii="Droid Sans" w:hAnsi="Droid Sans" w:eastAsia="Droid Sans Fallback" w:cs="FreeSans"/>
      <w:smallCaps/>
      <w:color w:val="00000A"/>
      <w:sz w:val="23"/>
      <w:szCs w:val="24"/>
      <w:lang w:val="de-DE" w:eastAsia="zh-CN" w:bidi="hi-IN"/>
    </w:rPr>
  </w:style>
  <w:style w:type="paragraph" w:styleId="Berschrift5">
    <w:name w:val="Überschrift 5"/>
    <w:basedOn w:val="Berschrift"/>
    <w:pPr>
      <w:widowControl w:val="false"/>
      <w:suppressAutoHyphens w:val="true"/>
      <w:bidi w:val="0"/>
      <w:jc w:val="left"/>
      <w:outlineLvl w:val="4"/>
    </w:pPr>
    <w:rPr>
      <w:rFonts w:ascii="Droid Sans" w:hAnsi="Droid Sans" w:eastAsia="Droid Sans Fallback" w:cs="FreeSans"/>
      <w:color w:val="00000A"/>
      <w:sz w:val="24"/>
      <w:szCs w:val="24"/>
      <w:lang w:val="de-DE" w:eastAsia="zh-CN" w:bidi="hi-IN"/>
    </w:rPr>
  </w:style>
  <w:style w:type="paragraph" w:styleId="Berschrift6">
    <w:name w:val="Überschrift 6"/>
    <w:basedOn w:val="Berschrift"/>
    <w:pPr>
      <w:widowControl w:val="false"/>
      <w:suppressAutoHyphens w:val="true"/>
      <w:bidi w:val="0"/>
      <w:jc w:val="left"/>
      <w:outlineLvl w:val="5"/>
    </w:pPr>
    <w:rPr>
      <w:rFonts w:ascii="Droid Sans" w:hAnsi="Droid Sans" w:eastAsia="Droid Sans Fallback" w:cs="FreeSans"/>
      <w:i/>
      <w:color w:val="00000A"/>
      <w:sz w:val="24"/>
      <w:szCs w:val="24"/>
      <w:lang w:val="de-DE" w:eastAsia="zh-CN" w:bidi="hi-IN"/>
    </w:rPr>
  </w:style>
  <w:style w:type="paragraph" w:styleId="Berschrift8">
    <w:name w:val="Überschrift 8"/>
    <w:basedOn w:val="Normal"/>
    <w:next w:val="Normal"/>
    <w:pPr>
      <w:keepNext/>
      <w:outlineLvl w:val="7"/>
    </w:pPr>
    <w:rPr>
      <w:rFonts w:ascii="Bookman Old Style" w:hAnsi="Bookman Old Style" w:cs="Bookman Old Style"/>
      <w:i/>
      <w:sz w:val="18"/>
    </w:rPr>
  </w:style>
  <w:style w:type="character" w:styleId="WW8Num1z0">
    <w:name w:val="WW8Num1z0"/>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WW8Num2z0">
    <w:name w:val="WW8Num2z0"/>
    <w:rPr/>
  </w:style>
  <w:style w:type="character" w:styleId="WW8Num2z1">
    <w:name w:val="WW8Num2z1"/>
    <w:rPr/>
  </w:style>
  <w:style w:type="character" w:styleId="WW8Num2z2">
    <w:name w:val="WW8Num2z2"/>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character" w:styleId="WW8Num3z0">
    <w:name w:val="WW8Num3z0"/>
    <w:rPr/>
  </w:style>
  <w:style w:type="character" w:styleId="WW8Num4z0">
    <w:name w:val="WW8Num4z0"/>
    <w:rPr>
      <w:rFonts w:ascii="Wingdings" w:hAnsi="Wingdings" w:cs="Wingdings"/>
    </w:rPr>
  </w:style>
  <w:style w:type="character" w:styleId="WW8Num5z0">
    <w:name w:val="WW8Num5z0"/>
    <w:rPr/>
  </w:style>
  <w:style w:type="character" w:styleId="WW8Num6z0">
    <w:name w:val="WW8Num6z0"/>
    <w:rPr>
      <w:rFonts w:ascii="Tahoma" w:hAnsi="Tahoma" w:cs="Tahoma"/>
      <w:sz w:val="20"/>
      <w:szCs w:val="20"/>
    </w:rPr>
  </w:style>
  <w:style w:type="character" w:styleId="WW8Num6z1">
    <w:name w:val="WW8Num6z1"/>
    <w:rPr/>
  </w:style>
  <w:style w:type="character" w:styleId="WW8Num6z2">
    <w:name w:val="WW8Num6z2"/>
    <w:rPr/>
  </w:style>
  <w:style w:type="character" w:styleId="WW8Num6z3">
    <w:name w:val="WW8Num6z3"/>
    <w:rPr/>
  </w:style>
  <w:style w:type="character" w:styleId="WW8Num6z4">
    <w:name w:val="WW8Num6z4"/>
    <w:rPr/>
  </w:style>
  <w:style w:type="character" w:styleId="WW8Num6z5">
    <w:name w:val="WW8Num6z5"/>
    <w:rPr/>
  </w:style>
  <w:style w:type="character" w:styleId="WW8Num6z6">
    <w:name w:val="WW8Num6z6"/>
    <w:rPr/>
  </w:style>
  <w:style w:type="character" w:styleId="WW8Num6z7">
    <w:name w:val="WW8Num6z7"/>
    <w:rPr/>
  </w:style>
  <w:style w:type="character" w:styleId="WW8Num6z8">
    <w:name w:val="WW8Num6z8"/>
    <w:rPr/>
  </w:style>
  <w:style w:type="character" w:styleId="WW8Num7z0">
    <w:name w:val="WW8Num7z0"/>
    <w:rPr>
      <w:rFonts w:ascii="Symbol" w:hAnsi="Symbol" w:cs="Symbol"/>
    </w:rPr>
  </w:style>
  <w:style w:type="character" w:styleId="WW8Num8z0">
    <w:name w:val="WW8Num8z0"/>
    <w:rPr>
      <w:rFonts w:ascii="Symbol" w:hAnsi="Symbol" w:cs="Symbol"/>
    </w:rPr>
  </w:style>
  <w:style w:type="character" w:styleId="WW8Num9z0">
    <w:name w:val="WW8Num9z0"/>
    <w:rPr/>
  </w:style>
  <w:style w:type="character" w:styleId="WW8Num10z0">
    <w:name w:val="WW8Num10z0"/>
    <w:rPr/>
  </w:style>
  <w:style w:type="character" w:styleId="WW8Num10z1">
    <w:name w:val="WW8Num10z1"/>
    <w:rPr/>
  </w:style>
  <w:style w:type="character" w:styleId="WW8Num10z2">
    <w:name w:val="WW8Num10z2"/>
    <w:rPr/>
  </w:style>
  <w:style w:type="character" w:styleId="WW8Num10z3">
    <w:name w:val="WW8Num10z3"/>
    <w:rPr/>
  </w:style>
  <w:style w:type="character" w:styleId="WW8Num10z4">
    <w:name w:val="WW8Num10z4"/>
    <w:rPr/>
  </w:style>
  <w:style w:type="character" w:styleId="WW8Num10z5">
    <w:name w:val="WW8Num10z5"/>
    <w:rPr/>
  </w:style>
  <w:style w:type="character" w:styleId="WW8Num10z6">
    <w:name w:val="WW8Num10z6"/>
    <w:rPr/>
  </w:style>
  <w:style w:type="character" w:styleId="WW8Num10z7">
    <w:name w:val="WW8Num10z7"/>
    <w:rPr/>
  </w:style>
  <w:style w:type="character" w:styleId="WW8Num10z8">
    <w:name w:val="WW8Num10z8"/>
    <w:rPr/>
  </w:style>
  <w:style w:type="character" w:styleId="WW8Num11z0">
    <w:name w:val="WW8Num11z0"/>
    <w:rPr/>
  </w:style>
  <w:style w:type="character" w:styleId="WW8Num12z0">
    <w:name w:val="WW8Num12z0"/>
    <w:rPr>
      <w:i w:val="false"/>
    </w:rPr>
  </w:style>
  <w:style w:type="character" w:styleId="WW8Num12z1">
    <w:name w:val="WW8Num12z1"/>
    <w:rPr/>
  </w:style>
  <w:style w:type="character" w:styleId="WW8Num12z2">
    <w:name w:val="WW8Num12z2"/>
    <w:rPr/>
  </w:style>
  <w:style w:type="character" w:styleId="WW8Num12z3">
    <w:name w:val="WW8Num12z3"/>
    <w:rPr/>
  </w:style>
  <w:style w:type="character" w:styleId="WW8Num12z4">
    <w:name w:val="WW8Num12z4"/>
    <w:rPr/>
  </w:style>
  <w:style w:type="character" w:styleId="WW8Num12z5">
    <w:name w:val="WW8Num12z5"/>
    <w:rPr/>
  </w:style>
  <w:style w:type="character" w:styleId="WW8Num12z6">
    <w:name w:val="WW8Num12z6"/>
    <w:rPr/>
  </w:style>
  <w:style w:type="character" w:styleId="WW8Num12z7">
    <w:name w:val="WW8Num12z7"/>
    <w:rPr/>
  </w:style>
  <w:style w:type="character" w:styleId="WW8Num12z8">
    <w:name w:val="WW8Num12z8"/>
    <w:rPr/>
  </w:style>
  <w:style w:type="character" w:styleId="WW8Num13z0">
    <w:name w:val="WW8Num13z0"/>
    <w:rPr/>
  </w:style>
  <w:style w:type="character" w:styleId="WW8Num13z1">
    <w:name w:val="WW8Num13z1"/>
    <w:rPr/>
  </w:style>
  <w:style w:type="character" w:styleId="WW8Num13z2">
    <w:name w:val="WW8Num13z2"/>
    <w:rPr/>
  </w:style>
  <w:style w:type="character" w:styleId="WW8Num13z3">
    <w:name w:val="WW8Num13z3"/>
    <w:rPr/>
  </w:style>
  <w:style w:type="character" w:styleId="WW8Num13z4">
    <w:name w:val="WW8Num13z4"/>
    <w:rPr/>
  </w:style>
  <w:style w:type="character" w:styleId="WW8Num13z5">
    <w:name w:val="WW8Num13z5"/>
    <w:rPr/>
  </w:style>
  <w:style w:type="character" w:styleId="WW8Num13z6">
    <w:name w:val="WW8Num13z6"/>
    <w:rPr/>
  </w:style>
  <w:style w:type="character" w:styleId="WW8Num13z7">
    <w:name w:val="WW8Num13z7"/>
    <w:rPr/>
  </w:style>
  <w:style w:type="character" w:styleId="WW8Num13z8">
    <w:name w:val="WW8Num13z8"/>
    <w:rPr/>
  </w:style>
  <w:style w:type="character" w:styleId="WW8Num14z0">
    <w:name w:val="WW8Num14z0"/>
    <w:rPr/>
  </w:style>
  <w:style w:type="character" w:styleId="WW8Num14z1">
    <w:name w:val="WW8Num14z1"/>
    <w:rPr/>
  </w:style>
  <w:style w:type="character" w:styleId="WW8Num14z2">
    <w:name w:val="WW8Num14z2"/>
    <w:rPr/>
  </w:style>
  <w:style w:type="character" w:styleId="WW8Num14z3">
    <w:name w:val="WW8Num14z3"/>
    <w:rPr/>
  </w:style>
  <w:style w:type="character" w:styleId="WW8Num14z4">
    <w:name w:val="WW8Num14z4"/>
    <w:rPr/>
  </w:style>
  <w:style w:type="character" w:styleId="WW8Num14z5">
    <w:name w:val="WW8Num14z5"/>
    <w:rPr/>
  </w:style>
  <w:style w:type="character" w:styleId="WW8Num14z6">
    <w:name w:val="WW8Num14z6"/>
    <w:rPr/>
  </w:style>
  <w:style w:type="character" w:styleId="WW8Num14z7">
    <w:name w:val="WW8Num14z7"/>
    <w:rPr/>
  </w:style>
  <w:style w:type="character" w:styleId="WW8Num14z8">
    <w:name w:val="WW8Num14z8"/>
    <w:rPr/>
  </w:style>
  <w:style w:type="character" w:styleId="WW8Num15z0">
    <w:name w:val="WW8Num15z0"/>
    <w:rPr>
      <w:rFonts w:ascii="Times New Roman" w:hAnsi="Times New Roman" w:eastAsia="Times New Roman" w:cs="Times New Roman"/>
    </w:rPr>
  </w:style>
  <w:style w:type="character" w:styleId="WW8Num15z1">
    <w:name w:val="WW8Num15z1"/>
    <w:rPr>
      <w:rFonts w:ascii="Courier New" w:hAnsi="Courier New" w:cs="Courier New"/>
    </w:rPr>
  </w:style>
  <w:style w:type="character" w:styleId="WW8Num15z2">
    <w:name w:val="WW8Num15z2"/>
    <w:rPr>
      <w:rFonts w:ascii="Wingdings" w:hAnsi="Wingdings" w:cs="Wingdings"/>
    </w:rPr>
  </w:style>
  <w:style w:type="character" w:styleId="WW8Num15z3">
    <w:name w:val="WW8Num15z3"/>
    <w:rPr>
      <w:rFonts w:ascii="Symbol" w:hAnsi="Symbol" w:cs="Symbol"/>
    </w:rPr>
  </w:style>
  <w:style w:type="character" w:styleId="WW8Num16z0">
    <w:name w:val="WW8Num16z0"/>
    <w:rPr/>
  </w:style>
  <w:style w:type="character" w:styleId="WW8Num16z1">
    <w:name w:val="WW8Num16z1"/>
    <w:rPr/>
  </w:style>
  <w:style w:type="character" w:styleId="WW8Num16z2">
    <w:name w:val="WW8Num16z2"/>
    <w:rPr/>
  </w:style>
  <w:style w:type="character" w:styleId="WW8Num16z3">
    <w:name w:val="WW8Num16z3"/>
    <w:rPr/>
  </w:style>
  <w:style w:type="character" w:styleId="WW8Num16z4">
    <w:name w:val="WW8Num16z4"/>
    <w:rPr/>
  </w:style>
  <w:style w:type="character" w:styleId="WW8Num16z5">
    <w:name w:val="WW8Num16z5"/>
    <w:rPr/>
  </w:style>
  <w:style w:type="character" w:styleId="WW8Num16z6">
    <w:name w:val="WW8Num16z6"/>
    <w:rPr/>
  </w:style>
  <w:style w:type="character" w:styleId="WW8Num16z7">
    <w:name w:val="WW8Num16z7"/>
    <w:rPr/>
  </w:style>
  <w:style w:type="character" w:styleId="WW8Num16z8">
    <w:name w:val="WW8Num16z8"/>
    <w:rPr/>
  </w:style>
  <w:style w:type="character" w:styleId="WW8Num17z0">
    <w:name w:val="WW8Num17z0"/>
    <w:rPr>
      <w:rFonts w:ascii="Wingdings" w:hAnsi="Wingdings" w:cs="Wingdings"/>
    </w:rPr>
  </w:style>
  <w:style w:type="character" w:styleId="WW8Num18z0">
    <w:name w:val="WW8Num18z0"/>
    <w:rPr>
      <w:rFonts w:ascii="Times New Roman" w:hAnsi="Times New Roman" w:eastAsia="Times New Roman" w:cs="Times New Roman"/>
    </w:rPr>
  </w:style>
  <w:style w:type="character" w:styleId="WW8Num18z1">
    <w:name w:val="WW8Num18z1"/>
    <w:rPr>
      <w:rFonts w:ascii="Courier New" w:hAnsi="Courier New" w:cs="Courier New"/>
    </w:rPr>
  </w:style>
  <w:style w:type="character" w:styleId="WW8Num18z2">
    <w:name w:val="WW8Num18z2"/>
    <w:rPr>
      <w:rFonts w:ascii="Wingdings" w:hAnsi="Wingdings" w:cs="Wingdings"/>
    </w:rPr>
  </w:style>
  <w:style w:type="character" w:styleId="WW8Num18z3">
    <w:name w:val="WW8Num18z3"/>
    <w:rPr>
      <w:rFonts w:ascii="Symbol" w:hAnsi="Symbol" w:cs="Symbol"/>
    </w:rPr>
  </w:style>
  <w:style w:type="character" w:styleId="WW8Num19z0">
    <w:name w:val="WW8Num19z0"/>
    <w:rPr>
      <w:rFonts w:ascii="Times New Roman" w:hAnsi="Times New Roman" w:eastAsia="Times New Roman" w:cs="Times New Roman"/>
      <w:b w:val="false"/>
    </w:rPr>
  </w:style>
  <w:style w:type="character" w:styleId="WW8Num19z1">
    <w:name w:val="WW8Num19z1"/>
    <w:rPr>
      <w:rFonts w:ascii="Courier New" w:hAnsi="Courier New" w:cs="Courier New"/>
    </w:rPr>
  </w:style>
  <w:style w:type="character" w:styleId="WW8Num19z2">
    <w:name w:val="WW8Num19z2"/>
    <w:rPr>
      <w:rFonts w:ascii="Wingdings" w:hAnsi="Wingdings" w:cs="Wingdings"/>
    </w:rPr>
  </w:style>
  <w:style w:type="character" w:styleId="WW8Num19z3">
    <w:name w:val="WW8Num19z3"/>
    <w:rPr>
      <w:rFonts w:ascii="Symbol" w:hAnsi="Symbol" w:cs="Symbol"/>
    </w:rPr>
  </w:style>
  <w:style w:type="character" w:styleId="WW8Num20z0">
    <w:name w:val="WW8Num20z0"/>
    <w:rPr/>
  </w:style>
  <w:style w:type="character" w:styleId="WW8Num20z1">
    <w:name w:val="WW8Num20z1"/>
    <w:rPr/>
  </w:style>
  <w:style w:type="character" w:styleId="WW8Num20z2">
    <w:name w:val="WW8Num20z2"/>
    <w:rPr/>
  </w:style>
  <w:style w:type="character" w:styleId="WW8Num20z3">
    <w:name w:val="WW8Num20z3"/>
    <w:rPr/>
  </w:style>
  <w:style w:type="character" w:styleId="WW8Num20z4">
    <w:name w:val="WW8Num20z4"/>
    <w:rPr/>
  </w:style>
  <w:style w:type="character" w:styleId="WW8Num20z5">
    <w:name w:val="WW8Num20z5"/>
    <w:rPr/>
  </w:style>
  <w:style w:type="character" w:styleId="WW8Num20z6">
    <w:name w:val="WW8Num20z6"/>
    <w:rPr/>
  </w:style>
  <w:style w:type="character" w:styleId="WW8Num20z7">
    <w:name w:val="WW8Num20z7"/>
    <w:rPr/>
  </w:style>
  <w:style w:type="character" w:styleId="WW8Num20z8">
    <w:name w:val="WW8Num20z8"/>
    <w:rPr/>
  </w:style>
  <w:style w:type="character" w:styleId="WW8Num21z0">
    <w:name w:val="WW8Num21z0"/>
    <w:rPr>
      <w:sz w:val="24"/>
      <w:szCs w:val="24"/>
    </w:rPr>
  </w:style>
  <w:style w:type="character" w:styleId="WW8Num21z1">
    <w:name w:val="WW8Num21z1"/>
    <w:rPr/>
  </w:style>
  <w:style w:type="character" w:styleId="WW8Num21z2">
    <w:name w:val="WW8Num21z2"/>
    <w:rPr/>
  </w:style>
  <w:style w:type="character" w:styleId="WW8Num21z3">
    <w:name w:val="WW8Num21z3"/>
    <w:rPr/>
  </w:style>
  <w:style w:type="character" w:styleId="WW8Num21z4">
    <w:name w:val="WW8Num21z4"/>
    <w:rPr/>
  </w:style>
  <w:style w:type="character" w:styleId="WW8Num21z5">
    <w:name w:val="WW8Num21z5"/>
    <w:rPr/>
  </w:style>
  <w:style w:type="character" w:styleId="WW8Num21z6">
    <w:name w:val="WW8Num21z6"/>
    <w:rPr/>
  </w:style>
  <w:style w:type="character" w:styleId="WW8Num21z7">
    <w:name w:val="WW8Num21z7"/>
    <w:rPr/>
  </w:style>
  <w:style w:type="character" w:styleId="WW8Num21z8">
    <w:name w:val="WW8Num21z8"/>
    <w:rPr/>
  </w:style>
  <w:style w:type="character" w:styleId="WW8Num22z0">
    <w:name w:val="WW8Num22z0"/>
    <w:rPr>
      <w:rFonts w:ascii="Times New Roman" w:hAnsi="Times New Roman" w:eastAsia="Times New Roman" w:cs="Times New Roman"/>
    </w:rPr>
  </w:style>
  <w:style w:type="character" w:styleId="WW8Num22z1">
    <w:name w:val="WW8Num22z1"/>
    <w:rPr>
      <w:rFonts w:ascii="Courier New" w:hAnsi="Courier New" w:cs="Courier New"/>
    </w:rPr>
  </w:style>
  <w:style w:type="character" w:styleId="WW8Num22z2">
    <w:name w:val="WW8Num22z2"/>
    <w:rPr>
      <w:rFonts w:ascii="Wingdings" w:hAnsi="Wingdings" w:cs="Wingdings"/>
    </w:rPr>
  </w:style>
  <w:style w:type="character" w:styleId="WW8Num22z3">
    <w:name w:val="WW8Num22z3"/>
    <w:rPr>
      <w:rFonts w:ascii="Symbol" w:hAnsi="Symbol" w:cs="Symbol"/>
    </w:rPr>
  </w:style>
  <w:style w:type="character" w:styleId="WW8Num23z0">
    <w:name w:val="WW8Num23z0"/>
    <w:rPr>
      <w:rFonts w:ascii="Times New Roman" w:hAnsi="Times New Roman" w:eastAsia="Times New Roman" w:cs="Times New Roman"/>
    </w:rPr>
  </w:style>
  <w:style w:type="character" w:styleId="WW8Num23z1">
    <w:name w:val="WW8Num23z1"/>
    <w:rPr>
      <w:rFonts w:ascii="Courier New" w:hAnsi="Courier New" w:cs="Courier New"/>
    </w:rPr>
  </w:style>
  <w:style w:type="character" w:styleId="WW8Num23z2">
    <w:name w:val="WW8Num23z2"/>
    <w:rPr>
      <w:rFonts w:ascii="Wingdings" w:hAnsi="Wingdings" w:cs="Wingdings"/>
    </w:rPr>
  </w:style>
  <w:style w:type="character" w:styleId="WW8Num23z3">
    <w:name w:val="WW8Num23z3"/>
    <w:rPr>
      <w:rFonts w:ascii="Symbol" w:hAnsi="Symbol" w:cs="Symbol"/>
    </w:rPr>
  </w:style>
  <w:style w:type="character" w:styleId="WW8Num24z0">
    <w:name w:val="WW8Num24z0"/>
    <w:rPr>
      <w:rFonts w:ascii="Times New Roman" w:hAnsi="Times New Roman" w:eastAsia="Times New Roman" w:cs="Times New Roman"/>
    </w:rPr>
  </w:style>
  <w:style w:type="character" w:styleId="WW8Num24z1">
    <w:name w:val="WW8Num24z1"/>
    <w:rPr>
      <w:rFonts w:ascii="Courier New" w:hAnsi="Courier New" w:cs="Courier New"/>
    </w:rPr>
  </w:style>
  <w:style w:type="character" w:styleId="WW8Num24z2">
    <w:name w:val="WW8Num24z2"/>
    <w:rPr>
      <w:rFonts w:ascii="Wingdings" w:hAnsi="Wingdings" w:cs="Wingdings"/>
    </w:rPr>
  </w:style>
  <w:style w:type="character" w:styleId="WW8Num24z3">
    <w:name w:val="WW8Num24z3"/>
    <w:rPr>
      <w:rFonts w:ascii="Symbol" w:hAnsi="Symbol" w:cs="Symbol"/>
    </w:rPr>
  </w:style>
  <w:style w:type="character" w:styleId="WW8Num25z0">
    <w:name w:val="WW8Num25z0"/>
    <w:rPr>
      <w:rFonts w:ascii="Garamond" w:hAnsi="Garamond" w:eastAsia="Times New Roman" w:cs="Times New Roman"/>
    </w:rPr>
  </w:style>
  <w:style w:type="character" w:styleId="WW8Num25z1">
    <w:name w:val="WW8Num25z1"/>
    <w:rPr/>
  </w:style>
  <w:style w:type="character" w:styleId="WW8Num25z2">
    <w:name w:val="WW8Num25z2"/>
    <w:rPr/>
  </w:style>
  <w:style w:type="character" w:styleId="WW8Num25z3">
    <w:name w:val="WW8Num25z3"/>
    <w:rPr/>
  </w:style>
  <w:style w:type="character" w:styleId="WW8Num25z4">
    <w:name w:val="WW8Num25z4"/>
    <w:rPr/>
  </w:style>
  <w:style w:type="character" w:styleId="WW8Num25z5">
    <w:name w:val="WW8Num25z5"/>
    <w:rPr/>
  </w:style>
  <w:style w:type="character" w:styleId="WW8Num25z6">
    <w:name w:val="WW8Num25z6"/>
    <w:rPr/>
  </w:style>
  <w:style w:type="character" w:styleId="WW8Num25z7">
    <w:name w:val="WW8Num25z7"/>
    <w:rPr/>
  </w:style>
  <w:style w:type="character" w:styleId="WW8Num25z8">
    <w:name w:val="WW8Num25z8"/>
    <w:rPr/>
  </w:style>
  <w:style w:type="character" w:styleId="WW8Num26z0">
    <w:name w:val="WW8Num26z0"/>
    <w:rPr/>
  </w:style>
  <w:style w:type="character" w:styleId="WW8Num26z1">
    <w:name w:val="WW8Num26z1"/>
    <w:rPr/>
  </w:style>
  <w:style w:type="character" w:styleId="WW8Num26z2">
    <w:name w:val="WW8Num26z2"/>
    <w:rPr/>
  </w:style>
  <w:style w:type="character" w:styleId="WW8Num26z3">
    <w:name w:val="WW8Num26z3"/>
    <w:rPr/>
  </w:style>
  <w:style w:type="character" w:styleId="WW8Num26z4">
    <w:name w:val="WW8Num26z4"/>
    <w:rPr/>
  </w:style>
  <w:style w:type="character" w:styleId="WW8Num26z5">
    <w:name w:val="WW8Num26z5"/>
    <w:rPr/>
  </w:style>
  <w:style w:type="character" w:styleId="WW8Num26z6">
    <w:name w:val="WW8Num26z6"/>
    <w:rPr/>
  </w:style>
  <w:style w:type="character" w:styleId="WW8Num26z7">
    <w:name w:val="WW8Num26z7"/>
    <w:rPr/>
  </w:style>
  <w:style w:type="character" w:styleId="WW8Num26z8">
    <w:name w:val="WW8Num26z8"/>
    <w:rPr/>
  </w:style>
  <w:style w:type="character" w:styleId="WW8Num27z0">
    <w:name w:val="WW8Num27z0"/>
    <w:rPr/>
  </w:style>
  <w:style w:type="character" w:styleId="WW8Num27z1">
    <w:name w:val="WW8Num27z1"/>
    <w:rPr/>
  </w:style>
  <w:style w:type="character" w:styleId="WW8Num27z2">
    <w:name w:val="WW8Num27z2"/>
    <w:rPr/>
  </w:style>
  <w:style w:type="character" w:styleId="WW8Num27z3">
    <w:name w:val="WW8Num27z3"/>
    <w:rPr/>
  </w:style>
  <w:style w:type="character" w:styleId="WW8Num27z4">
    <w:name w:val="WW8Num27z4"/>
    <w:rPr/>
  </w:style>
  <w:style w:type="character" w:styleId="WW8Num27z5">
    <w:name w:val="WW8Num27z5"/>
    <w:rPr/>
  </w:style>
  <w:style w:type="character" w:styleId="WW8Num27z6">
    <w:name w:val="WW8Num27z6"/>
    <w:rPr/>
  </w:style>
  <w:style w:type="character" w:styleId="WW8Num27z7">
    <w:name w:val="WW8Num27z7"/>
    <w:rPr/>
  </w:style>
  <w:style w:type="character" w:styleId="WW8Num27z8">
    <w:name w:val="WW8Num27z8"/>
    <w:rPr/>
  </w:style>
  <w:style w:type="character" w:styleId="Carpredefinitoparagrafo">
    <w:name w:val="Car. predefinito paragrafo"/>
    <w:rPr/>
  </w:style>
  <w:style w:type="character" w:styleId="Betont">
    <w:name w:val="Betont"/>
    <w:rPr>
      <w:i/>
      <w:iCs/>
      <w:caps/>
      <w:sz w:val="18"/>
    </w:rPr>
  </w:style>
  <w:style w:type="character" w:styleId="Slogan">
    <w:name w:val="Slogan"/>
    <w:rPr>
      <w:i/>
      <w:spacing w:val="70"/>
    </w:rPr>
  </w:style>
  <w:style w:type="character" w:styleId="Rientrocorpodeltesto2Carattere">
    <w:name w:val="Rientro corpo del testo 2 Carattere"/>
    <w:rPr>
      <w:rFonts w:ascii="Garamond" w:hAnsi="Garamond" w:cs="Garamond"/>
    </w:rPr>
  </w:style>
  <w:style w:type="character" w:styleId="RientrocorpodeltestoCarattere">
    <w:name w:val="Rientro corpo del testo Carattere"/>
    <w:rPr>
      <w:rFonts w:ascii="Garamond" w:hAnsi="Garamond" w:cs="Garamond"/>
    </w:rPr>
  </w:style>
  <w:style w:type="character" w:styleId="Internetlink">
    <w:name w:val="Internetlink"/>
    <w:rPr>
      <w:color w:val="0000FF"/>
      <w:u w:val="single"/>
      <w:lang w:val="zxx" w:eastAsia="zxx" w:bidi="zxx"/>
    </w:rPr>
  </w:style>
  <w:style w:type="character" w:styleId="Titolotesti21">
    <w:name w:val="titolotesti21"/>
    <w:rPr>
      <w:rFonts w:ascii="Times New Roman" w:hAnsi="Times New Roman" w:cs="Times New Roman"/>
      <w:b/>
      <w:bCs/>
    </w:rPr>
  </w:style>
  <w:style w:type="character" w:styleId="PidipaginaCarattere">
    <w:name w:val="Piè di pagina Carattere"/>
    <w:rPr>
      <w:rFonts w:ascii="Garamond" w:hAnsi="Garamond" w:cs="Garamond"/>
    </w:rPr>
  </w:style>
  <w:style w:type="character" w:styleId="ListLabel1">
    <w:name w:val="ListLabel 1"/>
    <w:rPr>
      <w:rFonts w:cs="Wingdings"/>
    </w:rPr>
  </w:style>
  <w:style w:type="paragraph" w:styleId="Berschrift">
    <w:name w:val="Überschrift"/>
    <w:basedOn w:val="Normal"/>
    <w:next w:val="Textkrper"/>
    <w:pPr>
      <w:keepNext/>
      <w:spacing w:before="240" w:after="120"/>
    </w:pPr>
    <w:rPr>
      <w:rFonts w:ascii="Droid Sans" w:hAnsi="Droid Sans" w:eastAsia="Droid Sans Fallback" w:cs="FreeSans"/>
      <w:sz w:val="28"/>
      <w:szCs w:val="28"/>
    </w:rPr>
  </w:style>
  <w:style w:type="paragraph" w:styleId="Textkrper">
    <w:name w:val="Textkörper"/>
    <w:basedOn w:val="Normal"/>
    <w:pPr>
      <w:spacing w:lineRule="atLeast" w:line="240" w:before="0" w:after="240"/>
      <w:ind w:left="0" w:right="0" w:firstLine="360"/>
    </w:pPr>
    <w:rPr/>
  </w:style>
  <w:style w:type="paragraph" w:styleId="Liste">
    <w:name w:val="Liste"/>
    <w:basedOn w:val="Textkrper"/>
    <w:pPr>
      <w:ind w:left="720" w:right="0" w:hanging="360"/>
    </w:pPr>
    <w:rPr>
      <w:rFonts w:ascii="Droid Sans" w:hAnsi="Droid Sans" w:cs="FreeSans"/>
    </w:rPr>
  </w:style>
  <w:style w:type="paragraph" w:styleId="Beschriftung">
    <w:name w:val="Beschriftung"/>
    <w:basedOn w:val="Normal"/>
    <w:pPr>
      <w:suppressLineNumbers/>
      <w:spacing w:before="120" w:after="120"/>
    </w:pPr>
    <w:rPr>
      <w:rFonts w:ascii="Droid Sans" w:hAnsi="Droid Sans" w:cs="FreeSans"/>
      <w:i/>
      <w:iCs/>
      <w:sz w:val="24"/>
      <w:szCs w:val="24"/>
    </w:rPr>
  </w:style>
  <w:style w:type="paragraph" w:styleId="Verzeichnis">
    <w:name w:val="Verzeichnis"/>
    <w:basedOn w:val="Normal"/>
    <w:pPr>
      <w:suppressLineNumbers/>
    </w:pPr>
    <w:rPr>
      <w:rFonts w:ascii="Droid Sans" w:hAnsi="Droid Sans" w:cs="FreeSans"/>
    </w:rPr>
  </w:style>
  <w:style w:type="paragraph" w:styleId="BaseTitolo">
    <w:name w:val="Base Titolo"/>
    <w:basedOn w:val="Textkrper"/>
    <w:pPr>
      <w:keepNext/>
      <w:keepLines/>
      <w:spacing w:before="0" w:after="0"/>
      <w:ind w:left="0" w:right="0" w:hanging="0"/>
      <w:jc w:val="left"/>
    </w:pPr>
    <w:rPr/>
  </w:style>
  <w:style w:type="paragraph" w:styleId="Titolo">
    <w:name w:val="Titolo"/>
    <w:basedOn w:val="Normal"/>
    <w:pPr>
      <w:keepNext/>
      <w:spacing w:before="240" w:after="120"/>
    </w:pPr>
    <w:rPr>
      <w:rFonts w:ascii="Liberation Sans;Arial" w:hAnsi="Liberation Sans;Arial" w:eastAsia="Droid Sans Fallback" w:cs="FreeSans"/>
      <w:sz w:val="28"/>
      <w:szCs w:val="28"/>
    </w:rPr>
  </w:style>
  <w:style w:type="paragraph" w:styleId="Didascalia">
    <w:name w:val="Didascalia"/>
    <w:basedOn w:val="Normal"/>
    <w:pPr>
      <w:suppressLineNumbers/>
      <w:spacing w:before="120" w:after="120"/>
    </w:pPr>
    <w:rPr>
      <w:rFonts w:cs="FreeSans"/>
      <w:i/>
      <w:iCs/>
      <w:sz w:val="24"/>
      <w:szCs w:val="24"/>
    </w:rPr>
  </w:style>
  <w:style w:type="paragraph" w:styleId="Indice">
    <w:name w:val="Indice"/>
    <w:basedOn w:val="Normal"/>
    <w:pPr>
      <w:suppressLineNumbers/>
    </w:pPr>
    <w:rPr>
      <w:rFonts w:cs="FreeSans"/>
    </w:rPr>
  </w:style>
  <w:style w:type="paragraph" w:styleId="Rigaattenzione">
    <w:name w:val="Riga attenzione"/>
    <w:basedOn w:val="Normal"/>
    <w:pPr>
      <w:spacing w:lineRule="atLeast" w:line="240" w:before="220" w:after="0"/>
    </w:pPr>
    <w:rPr/>
  </w:style>
  <w:style w:type="paragraph" w:styleId="Formuladiapertura">
    <w:name w:val="Formula di apertura"/>
    <w:basedOn w:val="Normal"/>
    <w:pPr>
      <w:spacing w:lineRule="atLeast" w:line="240" w:before="240" w:after="240"/>
      <w:jc w:val="left"/>
    </w:pPr>
    <w:rPr/>
  </w:style>
  <w:style w:type="paragraph" w:styleId="CC">
    <w:name w:val="CC"/>
    <w:basedOn w:val="Normal"/>
    <w:pPr>
      <w:keepLines/>
      <w:spacing w:lineRule="atLeast" w:line="240"/>
      <w:ind w:left="360" w:right="0" w:hanging="360"/>
    </w:pPr>
    <w:rPr/>
  </w:style>
  <w:style w:type="paragraph" w:styleId="Formuladichiusura">
    <w:name w:val="Formula di chiusura"/>
    <w:basedOn w:val="Normal"/>
    <w:next w:val="Unterschrift"/>
    <w:pPr>
      <w:keepNext/>
      <w:spacing w:lineRule="atLeast" w:line="240" w:before="0" w:after="120"/>
      <w:ind w:left="4565" w:right="0" w:hanging="0"/>
    </w:pPr>
    <w:rPr/>
  </w:style>
  <w:style w:type="paragraph" w:styleId="Unterschrift">
    <w:name w:val="Unterschrift"/>
    <w:basedOn w:val="Normal"/>
    <w:pPr>
      <w:keepNext/>
      <w:spacing w:lineRule="atLeast" w:line="240" w:before="880" w:after="0"/>
      <w:ind w:left="4565" w:right="0" w:hanging="0"/>
      <w:jc w:val="left"/>
    </w:pPr>
    <w:rPr/>
  </w:style>
  <w:style w:type="paragraph" w:styleId="Nomesociet">
    <w:name w:val="Nome società"/>
    <w:basedOn w:val="Textkrper"/>
    <w:pPr>
      <w:keepLines/>
      <w:spacing w:before="0" w:after="40"/>
      <w:ind w:left="0" w:right="0" w:hanging="0"/>
      <w:jc w:val="center"/>
    </w:pPr>
    <w:rPr>
      <w:caps/>
      <w:spacing w:val="75"/>
      <w:sz w:val="21"/>
    </w:rPr>
  </w:style>
  <w:style w:type="paragraph" w:styleId="Data">
    <w:name w:val="Data"/>
    <w:basedOn w:val="Normal"/>
    <w:pPr>
      <w:spacing w:before="0" w:after="220"/>
      <w:ind w:left="4565" w:right="0" w:hanging="0"/>
    </w:pPr>
    <w:rPr/>
  </w:style>
  <w:style w:type="paragraph" w:styleId="Allegato">
    <w:name w:val="Allegato"/>
    <w:basedOn w:val="Normal"/>
    <w:next w:val="CC"/>
    <w:pPr>
      <w:keepNext/>
      <w:keepLines/>
      <w:spacing w:lineRule="atLeast" w:line="240" w:before="120" w:after="120"/>
    </w:pPr>
    <w:rPr/>
  </w:style>
  <w:style w:type="paragraph" w:styleId="Indirizzointerno">
    <w:name w:val="Indirizzo interno"/>
    <w:basedOn w:val="Normal"/>
    <w:pPr>
      <w:spacing w:lineRule="atLeast" w:line="240"/>
    </w:pPr>
    <w:rPr/>
  </w:style>
  <w:style w:type="paragraph" w:styleId="Indirizzo">
    <w:name w:val="Indirizzo"/>
    <w:basedOn w:val="Indirizzointerno"/>
    <w:pPr>
      <w:spacing w:before="220" w:after="0"/>
    </w:pPr>
    <w:rPr/>
  </w:style>
  <w:style w:type="paragraph" w:styleId="Istruzionidiinvio">
    <w:name w:val="Istruzioni di invio"/>
    <w:basedOn w:val="Normal"/>
    <w:next w:val="Indirizzo"/>
    <w:pPr>
      <w:keepNext/>
      <w:spacing w:lineRule="atLeast" w:line="240" w:before="0" w:after="240"/>
    </w:pPr>
    <w:rPr>
      <w:caps/>
    </w:rPr>
  </w:style>
  <w:style w:type="paragraph" w:styleId="Inizialiriferimento">
    <w:name w:val="Iniziali riferimento"/>
    <w:basedOn w:val="Normal"/>
    <w:next w:val="Allegato"/>
    <w:pPr>
      <w:keepNext/>
      <w:spacing w:lineRule="atLeast" w:line="240" w:before="220" w:after="0"/>
      <w:jc w:val="left"/>
    </w:pPr>
    <w:rPr/>
  </w:style>
  <w:style w:type="paragraph" w:styleId="Rigariferimento">
    <w:name w:val="Riga riferimento"/>
    <w:basedOn w:val="Normal"/>
    <w:pPr>
      <w:keepNext/>
      <w:spacing w:lineRule="atLeast" w:line="240" w:before="0" w:after="240"/>
      <w:jc w:val="left"/>
    </w:pPr>
    <w:rPr/>
  </w:style>
  <w:style w:type="paragraph" w:styleId="Indirizzomittente1">
    <w:name w:val="Indirizzo mittente 1"/>
    <w:pPr>
      <w:widowControl/>
      <w:tabs>
        <w:tab w:val="left" w:pos="2160" w:leader="none"/>
      </w:tabs>
      <w:suppressAutoHyphens w:val="true"/>
      <w:overflowPunct w:val="false"/>
      <w:bidi w:val="0"/>
      <w:spacing w:lineRule="atLeast" w:line="240"/>
      <w:ind w:left="0" w:right="-240" w:hanging="0"/>
      <w:jc w:val="center"/>
    </w:pPr>
    <w:rPr>
      <w:rFonts w:ascii="Garamond" w:hAnsi="Garamond" w:eastAsia="Times New Roman" w:cs="Garamond"/>
      <w:caps/>
      <w:color w:val="00000A"/>
      <w:spacing w:val="30"/>
      <w:sz w:val="14"/>
      <w:szCs w:val="20"/>
      <w:lang w:val="it-IT" w:eastAsia="zh-CN" w:bidi="ar-SA"/>
    </w:rPr>
  </w:style>
  <w:style w:type="paragraph" w:styleId="Firmasociet">
    <w:name w:val="Firma società"/>
    <w:basedOn w:val="Unterschrift"/>
    <w:pPr>
      <w:spacing w:before="0" w:after="0"/>
    </w:pPr>
    <w:rPr/>
  </w:style>
  <w:style w:type="paragraph" w:styleId="Firmatitolo">
    <w:name w:val="Firma titolo"/>
    <w:basedOn w:val="Unterschrift"/>
    <w:pPr>
      <w:spacing w:before="0" w:after="0"/>
    </w:pPr>
    <w:rPr/>
  </w:style>
  <w:style w:type="paragraph" w:styleId="Oggetto">
    <w:name w:val="Oggetto"/>
    <w:basedOn w:val="Normal"/>
    <w:pPr>
      <w:spacing w:lineRule="atLeast" w:line="240" w:before="120" w:after="180"/>
      <w:ind w:left="357" w:right="0" w:hanging="357"/>
      <w:jc w:val="left"/>
    </w:pPr>
    <w:rPr>
      <w:caps/>
      <w:sz w:val="21"/>
    </w:rPr>
  </w:style>
  <w:style w:type="paragraph" w:styleId="Kopfzeile">
    <w:name w:val="Kopfzeile"/>
    <w:basedOn w:val="Normal"/>
    <w:pPr>
      <w:tabs>
        <w:tab w:val="center" w:pos="4320" w:leader="none"/>
        <w:tab w:val="right" w:pos="8640" w:leader="none"/>
      </w:tabs>
    </w:pPr>
    <w:rPr/>
  </w:style>
  <w:style w:type="paragraph" w:styleId="Puntoelenco">
    <w:name w:val="Punto elenco"/>
    <w:basedOn w:val="Liste"/>
    <w:pPr>
      <w:ind w:left="720" w:right="720" w:hanging="360"/>
    </w:pPr>
    <w:rPr/>
  </w:style>
  <w:style w:type="paragraph" w:styleId="Numeroelenco">
    <w:name w:val="Numero elenco"/>
    <w:basedOn w:val="Liste"/>
    <w:pPr>
      <w:ind w:left="720" w:right="720" w:hanging="360"/>
    </w:pPr>
    <w:rPr/>
  </w:style>
  <w:style w:type="paragraph" w:styleId="Mappadocumento">
    <w:name w:val="Mappa documento"/>
    <w:basedOn w:val="Normal"/>
    <w:pPr>
      <w:shd w:fill="000080" w:val="clear"/>
    </w:pPr>
    <w:rPr>
      <w:rFonts w:ascii="Tahoma" w:hAnsi="Tahoma" w:cs="Tahoma"/>
    </w:rPr>
  </w:style>
  <w:style w:type="paragraph" w:styleId="Intestazionemessaggio">
    <w:name w:val="Intestazione messaggio"/>
    <w:basedOn w:val="Normal"/>
    <w:pPr>
      <w:pBdr>
        <w:top w:val="single" w:sz="6" w:space="1" w:color="000001"/>
        <w:left w:val="single" w:sz="6" w:space="1" w:color="000001"/>
        <w:bottom w:val="single" w:sz="6" w:space="1" w:color="000001"/>
        <w:right w:val="single" w:sz="6" w:space="1" w:color="000001"/>
      </w:pBdr>
      <w:shd w:fill="CCCCCC" w:val="clear"/>
      <w:ind w:left="1134" w:right="0" w:hanging="1134"/>
    </w:pPr>
    <w:rPr>
      <w:rFonts w:ascii="Arial" w:hAnsi="Arial" w:cs="Arial"/>
      <w:sz w:val="24"/>
    </w:rPr>
  </w:style>
  <w:style w:type="paragraph" w:styleId="Fuzeile">
    <w:name w:val="Fußzeile"/>
    <w:basedOn w:val="Normal"/>
    <w:pPr>
      <w:tabs>
        <w:tab w:val="center" w:pos="4819" w:leader="none"/>
        <w:tab w:val="right" w:pos="9638" w:leader="none"/>
      </w:tabs>
    </w:pPr>
    <w:rPr>
      <w:lang w:val="de-DE"/>
    </w:rPr>
  </w:style>
  <w:style w:type="paragraph" w:styleId="Testofumetto">
    <w:name w:val="Testo fumetto"/>
    <w:basedOn w:val="Normal"/>
    <w:pPr/>
    <w:rPr>
      <w:rFonts w:ascii="Tahoma" w:hAnsi="Tahoma" w:cs="Tahoma"/>
      <w:sz w:val="16"/>
      <w:szCs w:val="16"/>
    </w:rPr>
  </w:style>
  <w:style w:type="paragraph" w:styleId="Rientrocorpodeltesto2">
    <w:name w:val="Rientro corpo del testo 2"/>
    <w:basedOn w:val="Normal"/>
    <w:pPr>
      <w:spacing w:lineRule="auto" w:line="480" w:before="0" w:after="120"/>
      <w:ind w:left="283" w:right="0" w:hanging="0"/>
    </w:pPr>
    <w:rPr>
      <w:lang w:val="de-DE"/>
    </w:rPr>
  </w:style>
  <w:style w:type="paragraph" w:styleId="TextkrperEinrckung">
    <w:name w:val="Textkörper Einrückung"/>
    <w:basedOn w:val="Normal"/>
    <w:pPr>
      <w:spacing w:before="0" w:after="120"/>
      <w:ind w:left="283" w:right="0" w:hanging="0"/>
    </w:pPr>
    <w:rPr>
      <w:lang w:val="de-DE"/>
    </w:rPr>
  </w:style>
  <w:style w:type="paragraph" w:styleId="NormaleWeb">
    <w:name w:val="Normale (Web)"/>
    <w:basedOn w:val="Normal"/>
    <w:pPr>
      <w:spacing w:before="100" w:after="100"/>
      <w:jc w:val="left"/>
    </w:pPr>
    <w:rPr>
      <w:rFonts w:ascii="Times New Roman" w:hAnsi="Times New Roman" w:cs="Times New Roman"/>
      <w:sz w:val="24"/>
      <w:szCs w:val="24"/>
    </w:rPr>
  </w:style>
  <w:style w:type="paragraph" w:styleId="VorformatierterText">
    <w:name w:val="Vorformatierter Text"/>
    <w:basedOn w:val="Normal"/>
    <w:pPr>
      <w:spacing w:before="0" w:after="0"/>
    </w:pPr>
    <w:rPr>
      <w:rFonts w:ascii="Liberation Mono" w:hAnsi="Liberation Mono" w:eastAsia="Droid Sans Fallback" w:cs="Liberation Mono"/>
      <w:sz w:val="20"/>
      <w:szCs w:val="20"/>
    </w:rPr>
  </w:style>
  <w:style w:type="numbering" w:styleId="WW8Num1">
    <w:name w:val="WW8Num1"/>
  </w:style>
  <w:style w:type="numbering" w:styleId="WW8Num2">
    <w:name w:val="WW8Num2"/>
  </w:style>
  <w:style w:type="numbering" w:styleId="WW8Num3">
    <w:name w:val="WW8Num3"/>
  </w:style>
  <w:style w:type="numbering" w:styleId="WW8Num4">
    <w:name w:val="WW8Num4"/>
  </w:style>
  <w:style w:type="numbering" w:styleId="WW8Num5">
    <w:name w:val="WW8Num5"/>
  </w:style>
  <w:style w:type="numbering" w:styleId="WW8Num6">
    <w:name w:val="WW8Num6"/>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24399</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2017-06-26T09:49:00Z</dcterms:created>
  <dc:creator>segreteria</dc:creator>
  <dc:language>de-DE</dc:language>
  <cp:lastModifiedBy>gbauhofer </cp:lastModifiedBy>
  <cp:lastPrinted>2018-06-05T08:28:13Z</cp:lastPrinted>
  <dcterms:modified xsi:type="dcterms:W3CDTF">2017-10-20T12:33:45Z</dcterms:modified>
  <cp:revision>73</cp:revision>
</cp:coreProperties>
</file>